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3" w:rsidRPr="00BC2AE3" w:rsidRDefault="00BC2AE3" w:rsidP="00A94431">
      <w:pPr>
        <w:jc w:val="center"/>
        <w:rPr>
          <w:color w:val="000000"/>
        </w:rPr>
      </w:pPr>
      <w:r w:rsidRPr="00BC2AE3">
        <w:rPr>
          <w:b/>
          <w:bCs/>
          <w:color w:val="000000"/>
          <w:u w:val="single"/>
        </w:rPr>
        <w:t>Публичное представление</w:t>
      </w:r>
    </w:p>
    <w:p w:rsidR="00BC2AE3" w:rsidRPr="00BC2AE3" w:rsidRDefault="00BC2AE3" w:rsidP="00A94431">
      <w:pPr>
        <w:jc w:val="center"/>
        <w:rPr>
          <w:b/>
          <w:bCs/>
          <w:color w:val="000000"/>
        </w:rPr>
      </w:pPr>
      <w:r w:rsidRPr="00BC2AE3">
        <w:rPr>
          <w:b/>
          <w:bCs/>
          <w:color w:val="000000"/>
        </w:rPr>
        <w:t>собственного инновационного педагогического опыта</w:t>
      </w:r>
    </w:p>
    <w:p w:rsidR="00BC2AE3" w:rsidRPr="00BC2AE3" w:rsidRDefault="00BC2AE3" w:rsidP="00A94431">
      <w:pPr>
        <w:jc w:val="center"/>
        <w:rPr>
          <w:color w:val="000000"/>
        </w:rPr>
      </w:pPr>
      <w:r w:rsidRPr="00BC2AE3">
        <w:rPr>
          <w:b/>
          <w:bCs/>
          <w:color w:val="000000"/>
        </w:rPr>
        <w:t>учителя математики М</w:t>
      </w:r>
      <w:r>
        <w:rPr>
          <w:b/>
          <w:bCs/>
          <w:color w:val="000000"/>
        </w:rPr>
        <w:t>БОУ «Сатагайская СОШ</w:t>
      </w:r>
      <w:r w:rsidRPr="00BC2AE3">
        <w:rPr>
          <w:b/>
          <w:bCs/>
          <w:color w:val="000000"/>
        </w:rPr>
        <w:t xml:space="preserve">» </w:t>
      </w:r>
      <w:r w:rsidR="00A94431">
        <w:rPr>
          <w:b/>
          <w:bCs/>
          <w:color w:val="000000"/>
        </w:rPr>
        <w:t>Амгинского улуса (района)</w:t>
      </w:r>
    </w:p>
    <w:p w:rsidR="00BC2AE3" w:rsidRPr="00BC2AE3" w:rsidRDefault="00A94431" w:rsidP="00A944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Спиридоновой Айталины Петровны</w:t>
      </w:r>
    </w:p>
    <w:p w:rsidR="00BC2AE3" w:rsidRDefault="00BC2AE3" w:rsidP="00C96503">
      <w:pPr>
        <w:pStyle w:val="a3"/>
        <w:spacing w:before="0" w:after="0"/>
        <w:ind w:firstLine="709"/>
        <w:jc w:val="both"/>
        <w:rPr>
          <w:b/>
          <w:sz w:val="24"/>
          <w:szCs w:val="24"/>
        </w:rPr>
      </w:pPr>
    </w:p>
    <w:p w:rsidR="00C96503" w:rsidRPr="00C96503" w:rsidRDefault="00C96503" w:rsidP="00C96503">
      <w:pPr>
        <w:pStyle w:val="a3"/>
        <w:spacing w:before="0" w:after="0"/>
        <w:ind w:firstLine="709"/>
        <w:jc w:val="both"/>
        <w:rPr>
          <w:b/>
          <w:sz w:val="24"/>
          <w:szCs w:val="24"/>
        </w:rPr>
      </w:pPr>
      <w:r w:rsidRPr="00C96503">
        <w:rPr>
          <w:b/>
          <w:sz w:val="24"/>
          <w:szCs w:val="24"/>
        </w:rPr>
        <w:t>Тема самообразования:</w:t>
      </w:r>
    </w:p>
    <w:p w:rsidR="00C96503" w:rsidRDefault="00C96503" w:rsidP="00C96503">
      <w:pPr>
        <w:ind w:firstLine="709"/>
        <w:jc w:val="both"/>
        <w:rPr>
          <w:b/>
          <w:i/>
        </w:rPr>
      </w:pPr>
      <w:r w:rsidRPr="00C96503">
        <w:rPr>
          <w:b/>
          <w:i/>
        </w:rPr>
        <w:t xml:space="preserve">«Внедрение современных технологий в образовательный процесс на основе </w:t>
      </w:r>
      <w:r w:rsidR="009125A1">
        <w:rPr>
          <w:b/>
          <w:i/>
        </w:rPr>
        <w:t xml:space="preserve">индивидуального образовательного маршрута </w:t>
      </w:r>
      <w:r w:rsidRPr="00C96503">
        <w:rPr>
          <w:b/>
          <w:i/>
        </w:rPr>
        <w:t>на уроках математики».</w:t>
      </w:r>
    </w:p>
    <w:p w:rsidR="000F36D4" w:rsidRDefault="000F36D4" w:rsidP="00997989">
      <w:pPr>
        <w:pStyle w:val="Style3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989">
        <w:rPr>
          <w:rStyle w:val="FontStyle21"/>
          <w:b/>
          <w:sz w:val="24"/>
          <w:szCs w:val="24"/>
        </w:rPr>
        <w:t>Цель:</w:t>
      </w:r>
      <w:r>
        <w:rPr>
          <w:rStyle w:val="FontStyle21"/>
          <w:sz w:val="24"/>
          <w:szCs w:val="24"/>
        </w:rPr>
        <w:t xml:space="preserve"> </w:t>
      </w:r>
      <w:r w:rsidRPr="00F140FA">
        <w:rPr>
          <w:i/>
        </w:rPr>
        <w:t>разработать и апробировать индивидуальный о</w:t>
      </w:r>
      <w:bookmarkStart w:id="0" w:name="_GoBack"/>
      <w:bookmarkEnd w:id="0"/>
      <w:r w:rsidRPr="00F140FA">
        <w:rPr>
          <w:i/>
        </w:rPr>
        <w:t>бразовательный маршрут для учащихся и внедрить его в образовательный процесс.</w:t>
      </w:r>
    </w:p>
    <w:p w:rsidR="0086013A" w:rsidRPr="0086013A" w:rsidRDefault="0086013A" w:rsidP="0086013A">
      <w:pPr>
        <w:pStyle w:val="Style3"/>
        <w:widowControl/>
        <w:spacing w:line="240" w:lineRule="auto"/>
        <w:ind w:left="284" w:firstLine="283"/>
        <w:rPr>
          <w:sz w:val="16"/>
          <w:szCs w:val="16"/>
        </w:rPr>
      </w:pPr>
    </w:p>
    <w:p w:rsidR="000D2FC6" w:rsidRDefault="000D2FC6" w:rsidP="000D2FC6">
      <w:pPr>
        <w:jc w:val="center"/>
        <w:rPr>
          <w:b/>
          <w:i/>
        </w:rPr>
      </w:pPr>
      <w:r w:rsidRPr="000D2FC6">
        <w:rPr>
          <w:b/>
          <w:i/>
        </w:rPr>
        <w:t>Основные этапы работы по самообразованию:</w:t>
      </w:r>
    </w:p>
    <w:p w:rsidR="000D2FC6" w:rsidRPr="0086013A" w:rsidRDefault="000D2FC6" w:rsidP="000D2FC6">
      <w:pPr>
        <w:jc w:val="center"/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641"/>
        <w:gridCol w:w="3720"/>
      </w:tblGrid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Этапы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Содержание работы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Практическая деятельность</w:t>
            </w:r>
          </w:p>
        </w:tc>
      </w:tr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Диагностический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 xml:space="preserve">Изучение </w:t>
            </w:r>
            <w:r>
              <w:t xml:space="preserve">методической </w:t>
            </w:r>
            <w:r w:rsidRPr="00822523">
              <w:t>литературы по проблеме и имеющегося опыта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 xml:space="preserve">Изучение </w:t>
            </w:r>
            <w:r>
              <w:t xml:space="preserve">методической </w:t>
            </w:r>
            <w:r w:rsidRPr="00822523">
              <w:t>литературы</w:t>
            </w:r>
          </w:p>
        </w:tc>
      </w:tr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Прогностический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1.Определение целей и задач темы.</w:t>
            </w:r>
          </w:p>
          <w:p w:rsidR="000D2FC6" w:rsidRPr="00822523" w:rsidRDefault="000D2FC6" w:rsidP="000424D8">
            <w:r w:rsidRPr="00822523">
              <w:t>2.Разработка системы мер, направленных на решение проблемы.</w:t>
            </w:r>
          </w:p>
          <w:p w:rsidR="000D2FC6" w:rsidRPr="00822523" w:rsidRDefault="000D2FC6" w:rsidP="000424D8">
            <w:r w:rsidRPr="00822523">
              <w:t>3.Прогнозирование результатов.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>
              <w:t>Выступлении на заседании МО учителей естественно-технического цикла.</w:t>
            </w:r>
          </w:p>
        </w:tc>
      </w:tr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Практический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1.Внедрение опыта работы.</w:t>
            </w:r>
          </w:p>
          <w:p w:rsidR="000D2FC6" w:rsidRPr="00822523" w:rsidRDefault="000D2FC6" w:rsidP="000424D8">
            <w:r w:rsidRPr="00822523">
              <w:t xml:space="preserve"> 2.Формирование методического комплекса.</w:t>
            </w:r>
          </w:p>
          <w:p w:rsidR="000D2FC6" w:rsidRPr="00822523" w:rsidRDefault="000D2FC6" w:rsidP="000424D8">
            <w:r w:rsidRPr="00822523">
              <w:t>3.Корректировка работы.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1.</w:t>
            </w:r>
            <w:r>
              <w:t xml:space="preserve"> </w:t>
            </w:r>
            <w:r w:rsidRPr="00822523">
              <w:t>Выступлении на заседании МО учителей</w:t>
            </w:r>
            <w:r>
              <w:t xml:space="preserve"> естественно-технического цикла </w:t>
            </w:r>
            <w:r w:rsidRPr="00822523">
              <w:t>по теме:</w:t>
            </w:r>
          </w:p>
          <w:p w:rsidR="000D2FC6" w:rsidRPr="00822523" w:rsidRDefault="000D2FC6" w:rsidP="000424D8">
            <w:r w:rsidRPr="00822523">
              <w:t>«Индивидуальный образовательный маршрут как форма работы со слабоуспевающими учащимися при подготовке к ОГЭ</w:t>
            </w:r>
            <w:r>
              <w:t>, ЕГЭ</w:t>
            </w:r>
            <w:r w:rsidRPr="00822523">
              <w:t>».</w:t>
            </w:r>
          </w:p>
          <w:p w:rsidR="000D2FC6" w:rsidRPr="00822523" w:rsidRDefault="000D2FC6" w:rsidP="000424D8">
            <w:r w:rsidRPr="00822523">
              <w:t>2.Открытые уроки на школьном уровне.</w:t>
            </w:r>
          </w:p>
          <w:p w:rsidR="000D2FC6" w:rsidRPr="00822523" w:rsidRDefault="000D2FC6" w:rsidP="000424D8">
            <w:r w:rsidRPr="00822523">
              <w:t xml:space="preserve">3.Участие в олимпиадах, конкурсах, </w:t>
            </w:r>
            <w:r>
              <w:t>научно-практических конференциях</w:t>
            </w:r>
            <w:r w:rsidRPr="00822523">
              <w:t>. </w:t>
            </w:r>
          </w:p>
        </w:tc>
      </w:tr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Обобщающий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1.Подведение итогов.</w:t>
            </w:r>
          </w:p>
          <w:p w:rsidR="000D2FC6" w:rsidRPr="00822523" w:rsidRDefault="000D2FC6" w:rsidP="000424D8">
            <w:r w:rsidRPr="00822523">
              <w:t>2.Оформление результатов работы.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Default="000D2FC6" w:rsidP="000424D8">
            <w:r>
              <w:t>1.</w:t>
            </w:r>
            <w:r w:rsidRPr="00822523">
              <w:t>Участие и результаты на районных олимпиадах, конкурсах, конференциях.</w:t>
            </w:r>
          </w:p>
          <w:p w:rsidR="000D2FC6" w:rsidRPr="00822523" w:rsidRDefault="000D2FC6" w:rsidP="000424D8">
            <w:r>
              <w:t xml:space="preserve">2. </w:t>
            </w:r>
            <w:r w:rsidRPr="00822523">
              <w:t>Консультативная помощь учителям и учащимся.</w:t>
            </w:r>
          </w:p>
        </w:tc>
      </w:tr>
      <w:tr w:rsidR="000D2FC6" w:rsidRPr="00822523" w:rsidTr="000424D8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pPr>
              <w:jc w:val="center"/>
            </w:pPr>
            <w:r w:rsidRPr="00822523">
              <w:t>Внедренческий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Распространение опыта работы.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6" w:rsidRPr="00822523" w:rsidRDefault="000D2FC6" w:rsidP="000424D8">
            <w:r w:rsidRPr="00822523">
              <w:t>1.Результаты работы над темой самообразования разместить на школьном сайте</w:t>
            </w:r>
          </w:p>
          <w:p w:rsidR="000D2FC6" w:rsidRPr="00822523" w:rsidRDefault="000D2FC6" w:rsidP="000424D8">
            <w:r w:rsidRPr="00822523">
              <w:t xml:space="preserve">2. Участие в </w:t>
            </w:r>
            <w:r>
              <w:t>НПК.</w:t>
            </w:r>
          </w:p>
        </w:tc>
      </w:tr>
    </w:tbl>
    <w:p w:rsidR="000D2FC6" w:rsidRPr="000D2FC6" w:rsidRDefault="000D2FC6" w:rsidP="000D2FC6">
      <w:pPr>
        <w:pStyle w:val="Style3"/>
        <w:widowControl/>
        <w:spacing w:line="240" w:lineRule="auto"/>
        <w:ind w:firstLine="0"/>
      </w:pPr>
    </w:p>
    <w:p w:rsidR="009125A1" w:rsidRPr="00F84782" w:rsidRDefault="00F30CB0" w:rsidP="00F84782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Актуальность</w:t>
      </w:r>
      <w:r w:rsidR="009125A1" w:rsidRPr="00F84782">
        <w:rPr>
          <w:b/>
        </w:rPr>
        <w:t xml:space="preserve">. </w:t>
      </w:r>
    </w:p>
    <w:p w:rsidR="009125A1" w:rsidRPr="009125A1" w:rsidRDefault="009125A1" w:rsidP="009125A1">
      <w:pPr>
        <w:ind w:firstLine="709"/>
        <w:jc w:val="both"/>
      </w:pPr>
      <w:r w:rsidRPr="009125A1">
        <w:t xml:space="preserve">В настоящее время развитие общества требует нового уровня образования. Перед </w:t>
      </w:r>
      <w:r>
        <w:t xml:space="preserve">каждой </w:t>
      </w:r>
      <w:r w:rsidRPr="009125A1">
        <w:t xml:space="preserve">школой сегодня стоит задача подготовки </w:t>
      </w:r>
      <w:r>
        <w:t xml:space="preserve">выпускников </w:t>
      </w:r>
      <w:r w:rsidRPr="009125A1">
        <w:t>творческих, ответственных, инициативных, готовых к самореализации и быстрой адаптации к новым условиям. Подготовка будущего </w:t>
      </w:r>
      <w:r w:rsidR="00EB6CD2">
        <w:t>выпускника к его профессиональной</w:t>
      </w:r>
      <w:r w:rsidRPr="009125A1">
        <w:t xml:space="preserve"> деятельности должна быть, прежде всего, направлена на приобретение умения проектировать учебно-воспитательный процесс, проектировать индивидуальный образовательный маршрут каждого учащегося с целью их личностного развития в ходе образовательной деятельности, вооружение приемами диагностики и самодиагностики. Это приводит к необходимости перестройки </w:t>
      </w:r>
      <w:r w:rsidRPr="009125A1">
        <w:lastRenderedPageBreak/>
        <w:t xml:space="preserve">образовательного процесса в школе и в связи с этим поиску и разработке новых технологий обучения </w:t>
      </w:r>
      <w:r w:rsidR="00EB6CD2">
        <w:t>учеников</w:t>
      </w:r>
      <w:r w:rsidRPr="009125A1">
        <w:t>.</w:t>
      </w:r>
    </w:p>
    <w:p w:rsidR="009125A1" w:rsidRPr="009125A1" w:rsidRDefault="009125A1" w:rsidP="009125A1">
      <w:pPr>
        <w:ind w:firstLine="709"/>
        <w:jc w:val="both"/>
      </w:pPr>
      <w:r w:rsidRPr="009125A1">
        <w:t xml:space="preserve">Новые педагогические технологии должны быть направлены на реализацию личностно-ориентированного подхода в обучении, сущность которого в гуманизации педагогического процесса, уважительном отношении к личности </w:t>
      </w:r>
      <w:r w:rsidR="00BA78D1">
        <w:t>ученика</w:t>
      </w:r>
      <w:r w:rsidRPr="009125A1">
        <w:t>, создании условий для выявления и развития индивидуальны</w:t>
      </w:r>
      <w:r w:rsidR="00BA78D1">
        <w:t>х возможностей и способностей. Ученик</w:t>
      </w:r>
      <w:r w:rsidRPr="009125A1">
        <w:t xml:space="preserve"> при этом должен выступать активным и ответственным субъектом образовательного процесса.</w:t>
      </w:r>
    </w:p>
    <w:p w:rsidR="009125A1" w:rsidRPr="009125A1" w:rsidRDefault="00EB6CD2" w:rsidP="009125A1">
      <w:pPr>
        <w:ind w:firstLine="709"/>
        <w:jc w:val="both"/>
      </w:pPr>
      <w:r w:rsidRPr="00BA78D1">
        <w:t xml:space="preserve">Сущность индивидуальных образовательных маршрутов учащихся в школе, а также особенности их проектирования и реализации раскрыты в работах </w:t>
      </w:r>
      <w:r w:rsidR="00B7564F">
        <w:t xml:space="preserve">С.С. Гавриленко, И.А. Галацковой, Т.Н. Гущиной, Н.П. Декиной, М.В. Давыдовой </w:t>
      </w:r>
      <w:r w:rsidRPr="00BA78D1">
        <w:t>и др.</w:t>
      </w:r>
    </w:p>
    <w:p w:rsidR="00BA78D1" w:rsidRDefault="00BA78D1" w:rsidP="00BA78D1">
      <w:pPr>
        <w:ind w:firstLine="709"/>
        <w:jc w:val="both"/>
      </w:pPr>
      <w:r w:rsidRPr="00BA78D1">
        <w:t xml:space="preserve">Современные тенденции развития образовательного процесса в школе предполагают разработку личностно-ориентированных технологий и способов обучения, обеспечивая при этом сотрудничество всех субъектов образовательного процесса; а также </w:t>
      </w:r>
      <w:r w:rsidRPr="001147C5">
        <w:rPr>
          <w:i/>
        </w:rPr>
        <w:t xml:space="preserve">актуальным </w:t>
      </w:r>
      <w:r w:rsidRPr="00BA78D1">
        <w:t xml:space="preserve">сегодня в рамках задач гуманизации образования является проблема педагогического проектирования учебной деятельности </w:t>
      </w:r>
      <w:r>
        <w:t>учеников</w:t>
      </w:r>
      <w:r w:rsidRPr="00BA78D1">
        <w:t xml:space="preserve"> при изучении конкретных учебных дисциплин с учетом их индивидуальных особенностей. Одним из способов индивидуализации обучения является организация продвижения </w:t>
      </w:r>
      <w:r>
        <w:t>учеников</w:t>
      </w:r>
      <w:r w:rsidRPr="00BA78D1">
        <w:t xml:space="preserve"> по их индивидуальным образовательным</w:t>
      </w:r>
      <w:r>
        <w:t xml:space="preserve"> маршрутам. Будущий выпускник школы</w:t>
      </w:r>
      <w:r w:rsidRPr="00BA78D1">
        <w:t> должен иметь возможность осуществить индивидуальный выбор своего образовательного пути во время подготовки к</w:t>
      </w:r>
      <w:r>
        <w:t xml:space="preserve"> профессиональной деятельности. </w:t>
      </w:r>
      <w:r w:rsidRPr="00BA78D1">
        <w:t>Такая организация обучения требует особой методики и технологии.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  <w:i/>
          <w:iCs/>
        </w:rPr>
        <w:t>2. Концептуальность.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</w:rPr>
        <w:t xml:space="preserve"> Во-первых,</w:t>
      </w:r>
      <w:r w:rsidRPr="00E97ADE">
        <w:t xml:space="preserve"> применение </w:t>
      </w:r>
      <w:r w:rsidR="00973635">
        <w:t xml:space="preserve">ИОМ </w:t>
      </w:r>
      <w:r w:rsidRPr="00E97ADE">
        <w:t>на уроках</w:t>
      </w:r>
      <w:r w:rsidR="00973635">
        <w:t xml:space="preserve"> математики и внеурочной деятельности</w:t>
      </w:r>
      <w:r w:rsidRPr="00E97ADE">
        <w:t xml:space="preserve"> усиливает положительную мотивацию обучения, активизирует познавательную деятельность учащихся.</w:t>
      </w:r>
      <w:r w:rsidRPr="00E97ADE">
        <w:rPr>
          <w:b/>
          <w:bCs/>
          <w:i/>
          <w:iCs/>
        </w:rPr>
        <w:t xml:space="preserve"> 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</w:rPr>
        <w:t>Во-вторых</w:t>
      </w:r>
      <w:r w:rsidRPr="00E97ADE">
        <w:rPr>
          <w:b/>
          <w:bCs/>
          <w:i/>
          <w:iCs/>
        </w:rPr>
        <w:t>,</w:t>
      </w:r>
      <w:r>
        <w:t xml:space="preserve"> </w:t>
      </w:r>
      <w:r w:rsidR="00973635" w:rsidRPr="00E97ADE">
        <w:t>обеспечивается высокая степень дифференциации обучения (индивидуализация</w:t>
      </w:r>
      <w:r w:rsidR="00973635">
        <w:t xml:space="preserve"> обучающихся</w:t>
      </w:r>
      <w:r w:rsidR="00973635" w:rsidRPr="00E97ADE">
        <w:t>).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</w:rPr>
        <w:t>В-третьих</w:t>
      </w:r>
      <w:r w:rsidRPr="00E97ADE">
        <w:rPr>
          <w:b/>
          <w:bCs/>
          <w:i/>
          <w:iCs/>
        </w:rPr>
        <w:t>,</w:t>
      </w:r>
      <w:r w:rsidRPr="00E97ADE">
        <w:t xml:space="preserve"> </w:t>
      </w:r>
      <w:r w:rsidR="00973635" w:rsidRPr="00E97ADE">
        <w:t>расширяется возможность самостоятельной деятельности; формируются навыки подлинно исследовательской деятельности.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</w:rPr>
        <w:t>В-четвёртых,</w:t>
      </w:r>
      <w:r w:rsidR="00973635">
        <w:t xml:space="preserve"> использование современных информационно-коммуникативных </w:t>
      </w:r>
      <w:r w:rsidR="00973635" w:rsidRPr="00E97ADE">
        <w:t>технологий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D54141" w:rsidRPr="00E97ADE" w:rsidRDefault="00D54141" w:rsidP="00D54141">
      <w:pPr>
        <w:ind w:firstLine="709"/>
        <w:jc w:val="both"/>
      </w:pPr>
      <w:r w:rsidRPr="00E97ADE">
        <w:rPr>
          <w:b/>
          <w:bCs/>
        </w:rPr>
        <w:t>В-пятых,</w:t>
      </w:r>
      <w:r w:rsidRPr="00E97ADE">
        <w:rPr>
          <w:b/>
          <w:bCs/>
          <w:i/>
          <w:iCs/>
        </w:rPr>
        <w:t xml:space="preserve"> </w:t>
      </w:r>
      <w:r w:rsidR="009727D6">
        <w:t xml:space="preserve">использование современных информационно-коммуникативных </w:t>
      </w:r>
      <w:r w:rsidR="009727D6" w:rsidRPr="00E97ADE">
        <w:t xml:space="preserve">технологий </w:t>
      </w:r>
      <w:r w:rsidR="009727D6">
        <w:t>обеспечивает</w:t>
      </w:r>
      <w:r w:rsidRPr="00E97ADE">
        <w:t xml:space="preserve"> доступ к различным справочным системам, электронным библиотекам, другим информационным ресурсам.</w:t>
      </w:r>
    </w:p>
    <w:p w:rsidR="00D54141" w:rsidRPr="00E97ADE" w:rsidRDefault="00D54141" w:rsidP="00D54141">
      <w:pPr>
        <w:ind w:firstLine="709"/>
        <w:jc w:val="both"/>
      </w:pPr>
      <w:r w:rsidRPr="00E97ADE">
        <w:t xml:space="preserve">А всё вместе, конечно же, </w:t>
      </w:r>
      <w:r w:rsidRPr="00E97ADE">
        <w:rPr>
          <w:b/>
          <w:bCs/>
          <w:i/>
          <w:iCs/>
        </w:rPr>
        <w:t>способствует повышению качества образования</w:t>
      </w:r>
      <w:r w:rsidR="009727D6">
        <w:rPr>
          <w:b/>
          <w:bCs/>
          <w:i/>
          <w:iCs/>
        </w:rPr>
        <w:t xml:space="preserve"> по предмету</w:t>
      </w:r>
      <w:r w:rsidRPr="00E97ADE">
        <w:t>.</w:t>
      </w:r>
      <w:r w:rsidRPr="00E97ADE">
        <w:rPr>
          <w:b/>
          <w:bCs/>
          <w:u w:val="single"/>
        </w:rPr>
        <w:t xml:space="preserve"> </w:t>
      </w:r>
    </w:p>
    <w:p w:rsidR="009727D6" w:rsidRPr="00EA69C1" w:rsidRDefault="009727D6" w:rsidP="009727D6">
      <w:pPr>
        <w:ind w:firstLine="708"/>
        <w:jc w:val="both"/>
        <w:rPr>
          <w:b/>
          <w:bCs/>
        </w:rPr>
      </w:pPr>
      <w:r w:rsidRPr="00EA69C1">
        <w:rPr>
          <w:b/>
          <w:bCs/>
        </w:rPr>
        <w:t>Своеобразие и новизна</w:t>
      </w:r>
      <w:r w:rsidRPr="00EA69C1">
        <w:t xml:space="preserve"> предлагаемого опыта</w:t>
      </w:r>
      <w:r>
        <w:t xml:space="preserve"> заключается в применении </w:t>
      </w:r>
      <w:r w:rsidRPr="00EA69C1">
        <w:t xml:space="preserve">подходов и методов во взаимодействии с учащимися. </w:t>
      </w:r>
    </w:p>
    <w:p w:rsidR="00D54141" w:rsidRDefault="009727D6" w:rsidP="009727D6">
      <w:pPr>
        <w:tabs>
          <w:tab w:val="left" w:pos="0"/>
        </w:tabs>
        <w:ind w:firstLine="709"/>
        <w:jc w:val="both"/>
        <w:rPr>
          <w:b/>
        </w:rPr>
      </w:pPr>
      <w:r w:rsidRPr="00EA69C1">
        <w:rPr>
          <w:b/>
          <w:bCs/>
        </w:rPr>
        <w:t>Практическая значимость</w:t>
      </w:r>
      <w:r w:rsidRPr="00EA69C1">
        <w:t xml:space="preserve"> данной проблемы заключается в том, чтобы научить учеников самостоятельно приобретать знания, творчески мыслить, научиться     ориентироваться на рынке труда, </w:t>
      </w:r>
      <w:r w:rsidR="00660827">
        <w:t>быть востребованным и успешным.</w:t>
      </w:r>
    </w:p>
    <w:p w:rsidR="009727D6" w:rsidRPr="00E97ADE" w:rsidRDefault="009727D6" w:rsidP="009727D6">
      <w:pPr>
        <w:ind w:firstLine="709"/>
        <w:jc w:val="both"/>
      </w:pPr>
      <w:r w:rsidRPr="00E97ADE">
        <w:t xml:space="preserve">В своем педагогическом опыте опираюсь на следующие </w:t>
      </w:r>
      <w:r w:rsidRPr="00E97ADE">
        <w:rPr>
          <w:u w:val="single"/>
        </w:rPr>
        <w:t>принципы:</w:t>
      </w:r>
      <w:r w:rsidRPr="00E97ADE">
        <w:t xml:space="preserve"> </w:t>
      </w:r>
    </w:p>
    <w:p w:rsidR="009727D6" w:rsidRDefault="009727D6" w:rsidP="009727D6">
      <w:pPr>
        <w:pStyle w:val="a4"/>
        <w:numPr>
          <w:ilvl w:val="0"/>
          <w:numId w:val="5"/>
        </w:numPr>
        <w:jc w:val="both"/>
      </w:pPr>
      <w:r>
        <w:t>П</w:t>
      </w:r>
      <w:r w:rsidRPr="00E97ADE">
        <w:t xml:space="preserve">ринцип развивающего обучения, доступности и посильности учебного </w:t>
      </w:r>
      <w:r w:rsidR="001E7F30">
        <w:t>материала, индивидуализации</w:t>
      </w:r>
      <w:r>
        <w:t>;</w:t>
      </w:r>
    </w:p>
    <w:p w:rsidR="009727D6" w:rsidRPr="00E97ADE" w:rsidRDefault="009727D6" w:rsidP="009727D6">
      <w:pPr>
        <w:pStyle w:val="a4"/>
        <w:numPr>
          <w:ilvl w:val="0"/>
          <w:numId w:val="5"/>
        </w:numPr>
        <w:jc w:val="both"/>
      </w:pPr>
      <w:r w:rsidRPr="00E97ADE">
        <w:t xml:space="preserve">Ученик является партнёром по образовательному процессу, обладающий собственными интересами, учебными возможностями. Педагог создаёт условия, в которых проявляется потребность и готовность ученика к самообразованию и самовоспитанию. </w:t>
      </w:r>
    </w:p>
    <w:p w:rsidR="00DB26A6" w:rsidRDefault="009727D6" w:rsidP="00DB26A6">
      <w:pPr>
        <w:ind w:firstLine="709"/>
        <w:jc w:val="both"/>
      </w:pPr>
      <w:r w:rsidRPr="00E97ADE">
        <w:rPr>
          <w:b/>
          <w:bCs/>
          <w:i/>
        </w:rPr>
        <w:t>3. Теоретической базой</w:t>
      </w:r>
      <w:r w:rsidRPr="00E97ADE">
        <w:t xml:space="preserve"> опыта явились работы </w:t>
      </w:r>
      <w:r w:rsidR="00DB26A6">
        <w:t xml:space="preserve">С.С. Гавриленко, И.А. </w:t>
      </w:r>
      <w:proofErr w:type="spellStart"/>
      <w:r w:rsidR="00DB26A6">
        <w:t>Галацкова</w:t>
      </w:r>
      <w:proofErr w:type="spellEnd"/>
      <w:r w:rsidR="00DB26A6" w:rsidRPr="00DB26A6">
        <w:t xml:space="preserve"> и др., представленных   в разных методических пособиях. Приведу лишь некоторые из них: </w:t>
      </w:r>
    </w:p>
    <w:p w:rsidR="00DB26A6" w:rsidRDefault="00DB26A6" w:rsidP="00DB26A6">
      <w:pPr>
        <w:ind w:firstLine="709"/>
        <w:jc w:val="both"/>
      </w:pPr>
      <w:r>
        <w:t xml:space="preserve">1.Гавриленко С.С. Индивидуально-образовательный маршрут. Математика в школе. 2007. №3. С.51-56.  </w:t>
      </w:r>
    </w:p>
    <w:p w:rsidR="00DB26A6" w:rsidRDefault="00DB26A6" w:rsidP="00DB26A6">
      <w:pPr>
        <w:ind w:firstLine="709"/>
        <w:jc w:val="both"/>
      </w:pPr>
      <w:r>
        <w:t xml:space="preserve">2.Галацкова И.А. Моделирование вариативных образовательных маршрутов учащихся как средство обеспечения адаптивности школьной среды. Автореферат. Ульяновск 2010. 29с. </w:t>
      </w:r>
    </w:p>
    <w:p w:rsidR="00DB26A6" w:rsidRDefault="00DB26A6" w:rsidP="00DB26A6">
      <w:pPr>
        <w:ind w:firstLine="709"/>
        <w:jc w:val="both"/>
      </w:pPr>
      <w:r>
        <w:lastRenderedPageBreak/>
        <w:t>3.Гущина Т.Н. Индивидуальный образовательный маршрут как средство сопровождения развития субъективности обучающихся. Воспитание школьников. 2011. №9.С.32-38.</w:t>
      </w:r>
    </w:p>
    <w:p w:rsidR="00DB26A6" w:rsidRDefault="00DB26A6" w:rsidP="00DB26A6">
      <w:pPr>
        <w:ind w:firstLine="709"/>
        <w:jc w:val="both"/>
      </w:pPr>
      <w:r>
        <w:t xml:space="preserve">4.Декина Н.П. Карта выбора индивидуального маршрута обучения. Завуч. 2004. №6. С.46-47. </w:t>
      </w:r>
    </w:p>
    <w:p w:rsidR="00DB26A6" w:rsidRDefault="00DB26A6" w:rsidP="00DB26A6">
      <w:pPr>
        <w:ind w:firstLine="709"/>
        <w:jc w:val="both"/>
      </w:pPr>
      <w:r>
        <w:t xml:space="preserve">5.Давыдова М.В. Моделирование индивидуальных образовательных маршрутов. Новокузнецк. 2004. 188с. </w:t>
      </w:r>
    </w:p>
    <w:p w:rsidR="009727D6" w:rsidRPr="00E97ADE" w:rsidRDefault="00DB26A6" w:rsidP="00DB26A6">
      <w:pPr>
        <w:ind w:firstLine="709"/>
        <w:jc w:val="both"/>
      </w:pPr>
      <w:r>
        <w:t>6.Кунаш М.А. Индивидуальные образовательные маршруты как средство формирования познавательной компетентности на уроках. М. Изд-во МГУ, 2011.</w:t>
      </w:r>
    </w:p>
    <w:p w:rsidR="001E7F30" w:rsidRPr="001E7F30" w:rsidRDefault="001E7F30" w:rsidP="001E7F30">
      <w:pPr>
        <w:ind w:firstLine="709"/>
        <w:jc w:val="both"/>
      </w:pPr>
      <w:r w:rsidRPr="001E7F30">
        <w:rPr>
          <w:b/>
          <w:bCs/>
          <w:i/>
        </w:rPr>
        <w:t>4. Ведущая педагогическая идея:</w:t>
      </w:r>
      <w:r w:rsidRPr="001E7F30">
        <w:rPr>
          <w:b/>
        </w:rPr>
        <w:t xml:space="preserve"> </w:t>
      </w:r>
      <w:r w:rsidRPr="001E7F30">
        <w:t xml:space="preserve">повышение качества обучения математике, развитие познавательного интереса и логического мышления, развитие ученика как личности за счет </w:t>
      </w:r>
      <w:r>
        <w:t>внедрения индивидуальных образовательных маршрутов</w:t>
      </w:r>
      <w:r w:rsidRPr="001E7F30">
        <w:t> в учебном процессе.</w:t>
      </w:r>
    </w:p>
    <w:p w:rsidR="001E7F30" w:rsidRDefault="00DB26A6" w:rsidP="001E7F30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Оптимальность и эффективность средств.</w:t>
      </w:r>
    </w:p>
    <w:p w:rsidR="00453835" w:rsidRPr="006751B2" w:rsidRDefault="00453835" w:rsidP="006751B2">
      <w:pPr>
        <w:ind w:firstLine="709"/>
        <w:jc w:val="both"/>
        <w:rPr>
          <w:bCs/>
          <w:iCs/>
        </w:rPr>
      </w:pPr>
      <w:r>
        <w:rPr>
          <w:bCs/>
          <w:iCs/>
        </w:rPr>
        <w:t>Использование ИОМ</w:t>
      </w:r>
      <w:r w:rsidRPr="00453835">
        <w:rPr>
          <w:bCs/>
          <w:iCs/>
        </w:rPr>
        <w:t xml:space="preserve"> </w:t>
      </w:r>
      <w:r>
        <w:rPr>
          <w:bCs/>
          <w:iCs/>
        </w:rPr>
        <w:t>мне позволяет:</w:t>
      </w:r>
    </w:p>
    <w:p w:rsidR="00453835" w:rsidRDefault="00453835" w:rsidP="00453835">
      <w:pPr>
        <w:pStyle w:val="a4"/>
        <w:numPr>
          <w:ilvl w:val="0"/>
          <w:numId w:val="10"/>
        </w:numPr>
        <w:jc w:val="both"/>
        <w:rPr>
          <w:bCs/>
          <w:iCs/>
        </w:rPr>
      </w:pPr>
      <w:r w:rsidRPr="00453835">
        <w:rPr>
          <w:bCs/>
          <w:iCs/>
        </w:rPr>
        <w:t>индивидуализировать процесс обучения за счёт возможности создания и использования разноуровневых заданий, усвоение учащимися учебного материала в индивидуальном плане, с использованием удобного способа восприятия информации;</w:t>
      </w:r>
    </w:p>
    <w:p w:rsidR="00453835" w:rsidRPr="00453835" w:rsidRDefault="006B2187" w:rsidP="00453835">
      <w:pPr>
        <w:pStyle w:val="a4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создать условия</w:t>
      </w:r>
      <w:r w:rsidR="00453835" w:rsidRPr="00453835">
        <w:rPr>
          <w:bCs/>
          <w:iCs/>
        </w:rPr>
        <w:t xml:space="preserve"> для успешной подготовки, организации и проведения итоговой аттестации выпускников, совершенствование системы подготовки учащихся к государственной (итоговой) аттестации в форме ЕГЭ и ОГЭ</w:t>
      </w:r>
      <w:r w:rsidR="00453835">
        <w:rPr>
          <w:bCs/>
          <w:iCs/>
        </w:rPr>
        <w:t>;</w:t>
      </w:r>
    </w:p>
    <w:p w:rsidR="00453835" w:rsidRDefault="00453835" w:rsidP="00453835">
      <w:pPr>
        <w:pStyle w:val="a4"/>
        <w:numPr>
          <w:ilvl w:val="0"/>
          <w:numId w:val="10"/>
        </w:numPr>
        <w:jc w:val="both"/>
        <w:rPr>
          <w:bCs/>
          <w:iCs/>
        </w:rPr>
      </w:pPr>
      <w:r w:rsidRPr="00453835">
        <w:rPr>
          <w:bCs/>
          <w:iCs/>
        </w:rPr>
        <w:t>совершенствовать навыки самоконтроля, поскольку учащиеся могут самостоятельно анализировать и исправлять допущенные ошибки и корректировать свою деятельность благодаря наличию обратной связи;</w:t>
      </w:r>
    </w:p>
    <w:p w:rsidR="003364E4" w:rsidRDefault="00453835" w:rsidP="003364E4">
      <w:pPr>
        <w:pStyle w:val="a4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п</w:t>
      </w:r>
      <w:r w:rsidRPr="00453835">
        <w:rPr>
          <w:bCs/>
          <w:iCs/>
        </w:rPr>
        <w:t>редвидеть затруднения, которые могут возникнуть у детей при усвоении нового материала и выполн</w:t>
      </w:r>
      <w:r>
        <w:rPr>
          <w:bCs/>
          <w:iCs/>
        </w:rPr>
        <w:t>ении дифференцированных заданий;</w:t>
      </w:r>
    </w:p>
    <w:p w:rsidR="003364E4" w:rsidRDefault="003364E4" w:rsidP="003364E4">
      <w:pPr>
        <w:pStyle w:val="a4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о</w:t>
      </w:r>
      <w:r w:rsidRPr="003364E4">
        <w:rPr>
          <w:bCs/>
          <w:iCs/>
        </w:rPr>
        <w:t>рганизовать работу с одарёнными детьми и принимать участие в научно-практических конференциях, конкурсах творческих работ, олимпиадах.</w:t>
      </w:r>
    </w:p>
    <w:p w:rsidR="003364E4" w:rsidRDefault="003364E4" w:rsidP="003364E4">
      <w:pPr>
        <w:jc w:val="both"/>
        <w:rPr>
          <w:b/>
        </w:rPr>
      </w:pPr>
    </w:p>
    <w:p w:rsidR="009727D6" w:rsidRPr="003364E4" w:rsidRDefault="00545E2C" w:rsidP="00F30CB0">
      <w:pPr>
        <w:ind w:firstLine="851"/>
        <w:jc w:val="both"/>
        <w:rPr>
          <w:bCs/>
          <w:iCs/>
        </w:rPr>
      </w:pPr>
      <w:r w:rsidRPr="003364E4">
        <w:rPr>
          <w:b/>
        </w:rPr>
        <w:t xml:space="preserve">6. </w:t>
      </w:r>
      <w:r w:rsidRPr="003364E4">
        <w:rPr>
          <w:b/>
          <w:i/>
        </w:rPr>
        <w:t>Результативность.</w:t>
      </w:r>
    </w:p>
    <w:p w:rsidR="000B7EF1" w:rsidRPr="000B7EF1" w:rsidRDefault="00F30CB0" w:rsidP="000B7EF1">
      <w:pPr>
        <w:ind w:firstLine="709"/>
        <w:jc w:val="both"/>
      </w:pPr>
      <w:r>
        <w:t xml:space="preserve">   </w:t>
      </w:r>
      <w:r w:rsidR="000B7EF1" w:rsidRPr="000B7EF1">
        <w:t xml:space="preserve">Использование </w:t>
      </w:r>
      <w:r w:rsidR="000B7EF1">
        <w:t>ИОМ</w:t>
      </w:r>
      <w:r w:rsidR="006B2187">
        <w:t xml:space="preserve"> позволило</w:t>
      </w:r>
      <w:r w:rsidR="000B7EF1" w:rsidRPr="000B7EF1">
        <w:t>:</w:t>
      </w:r>
    </w:p>
    <w:p w:rsidR="000B7EF1" w:rsidRDefault="000B7EF1" w:rsidP="000B7EF1">
      <w:pPr>
        <w:pStyle w:val="a4"/>
        <w:numPr>
          <w:ilvl w:val="0"/>
          <w:numId w:val="11"/>
        </w:numPr>
        <w:jc w:val="both"/>
      </w:pPr>
      <w:r w:rsidRPr="000B7EF1">
        <w:t>создать условия для развития самостоятельности учащихся. Ученик решает те или иные задачи самостоятельно, следовательно, повышается его интерес к предмету, уверенность в том, что он может усвоить предмет;</w:t>
      </w:r>
    </w:p>
    <w:p w:rsidR="006B2187" w:rsidRDefault="006B2187" w:rsidP="000B7EF1">
      <w:pPr>
        <w:pStyle w:val="a4"/>
        <w:numPr>
          <w:ilvl w:val="0"/>
          <w:numId w:val="11"/>
        </w:numPr>
        <w:jc w:val="both"/>
      </w:pPr>
      <w:r>
        <w:t>раскрыть способности одаренных детей, реализовать их возможности и помочь в выборе профессии;</w:t>
      </w:r>
    </w:p>
    <w:p w:rsidR="000B7EF1" w:rsidRDefault="006B2187" w:rsidP="000B7EF1">
      <w:pPr>
        <w:pStyle w:val="a4"/>
        <w:numPr>
          <w:ilvl w:val="0"/>
          <w:numId w:val="11"/>
        </w:numPr>
        <w:jc w:val="both"/>
      </w:pPr>
      <w:r>
        <w:t>повысить уровень обученности слабоуспевающих;</w:t>
      </w:r>
    </w:p>
    <w:p w:rsidR="000D2FC6" w:rsidRDefault="000B7EF1" w:rsidP="000B7EF1">
      <w:pPr>
        <w:ind w:firstLine="709"/>
        <w:jc w:val="both"/>
      </w:pPr>
      <w:r w:rsidRPr="000B7EF1">
        <w:t xml:space="preserve">Результаты участия моих </w:t>
      </w:r>
      <w:r w:rsidR="000D2FC6" w:rsidRPr="000B7EF1">
        <w:t xml:space="preserve">учеников </w:t>
      </w:r>
      <w:r w:rsidR="000D2FC6">
        <w:t xml:space="preserve">(межаттестационный период) </w:t>
      </w:r>
      <w:r w:rsidR="000D2FC6" w:rsidRPr="000B7EF1">
        <w:t>в</w:t>
      </w:r>
      <w:r w:rsidRPr="000B7EF1">
        <w:t xml:space="preserve"> предметных олимпиадах, заочных олимпиадах, конкурсах, конференциях </w:t>
      </w:r>
      <w:r w:rsidR="000D2FC6">
        <w:t>приведены в таблице:</w:t>
      </w:r>
    </w:p>
    <w:p w:rsidR="00816743" w:rsidRDefault="00816743" w:rsidP="000B7EF1">
      <w:pPr>
        <w:ind w:firstLine="709"/>
        <w:jc w:val="both"/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31"/>
        <w:gridCol w:w="2694"/>
        <w:gridCol w:w="2403"/>
      </w:tblGrid>
      <w:tr w:rsidR="00AF1923" w:rsidRPr="00CC23A3" w:rsidTr="00CC23A3">
        <w:tc>
          <w:tcPr>
            <w:tcW w:w="2353" w:type="pct"/>
          </w:tcPr>
          <w:p w:rsidR="00AF1923" w:rsidRPr="00CC23A3" w:rsidRDefault="00AF1923" w:rsidP="00AF192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 xml:space="preserve">Название конкурса </w:t>
            </w:r>
          </w:p>
        </w:tc>
        <w:tc>
          <w:tcPr>
            <w:tcW w:w="1399" w:type="pct"/>
          </w:tcPr>
          <w:p w:rsidR="00AF1923" w:rsidRPr="00CC23A3" w:rsidRDefault="00AF1923" w:rsidP="00AF192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1248" w:type="pct"/>
          </w:tcPr>
          <w:p w:rsidR="00AF1923" w:rsidRPr="00CC23A3" w:rsidRDefault="00AF1923" w:rsidP="00AF192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Кол-во призовых</w:t>
            </w:r>
            <w:r w:rsidR="006B2187" w:rsidRPr="00CC23A3">
              <w:rPr>
                <w:rFonts w:eastAsiaTheme="minorHAnsi"/>
                <w:sz w:val="22"/>
                <w:szCs w:val="22"/>
                <w:lang w:eastAsia="en-US"/>
              </w:rPr>
              <w:t xml:space="preserve"> мест</w:t>
            </w: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F02873" w:rsidP="00F028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Улусный фестиваль «Дьо5ур»</w:t>
            </w:r>
          </w:p>
        </w:tc>
        <w:tc>
          <w:tcPr>
            <w:tcW w:w="1399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8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AF1923" w:rsidP="000D2F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Улусная математическая олимпиада в рамках улусного праздника «Математический праздник»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F02873" w:rsidP="000D2F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СВОШ</w:t>
            </w:r>
          </w:p>
        </w:tc>
        <w:tc>
          <w:tcPr>
            <w:tcW w:w="1399" w:type="pct"/>
          </w:tcPr>
          <w:p w:rsidR="00AF1923" w:rsidRPr="00CC23A3" w:rsidRDefault="00CA77C7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F1923" w:rsidRPr="00CC23A3" w:rsidTr="00CC23A3">
        <w:tc>
          <w:tcPr>
            <w:tcW w:w="2353" w:type="pct"/>
            <w:vAlign w:val="center"/>
          </w:tcPr>
          <w:p w:rsidR="00AF1923" w:rsidRPr="00CC23A3" w:rsidRDefault="00AF1923" w:rsidP="00F028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F02873" w:rsidRPr="00CC23A3">
              <w:rPr>
                <w:rFonts w:eastAsiaTheme="minorHAnsi"/>
                <w:sz w:val="22"/>
                <w:szCs w:val="22"/>
                <w:lang w:eastAsia="en-US"/>
              </w:rPr>
              <w:t>егиональный фестиваль «Дьо5ур»</w:t>
            </w:r>
          </w:p>
        </w:tc>
        <w:tc>
          <w:tcPr>
            <w:tcW w:w="1399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F1923" w:rsidRPr="00CC23A3" w:rsidTr="00CC23A3">
        <w:tc>
          <w:tcPr>
            <w:tcW w:w="2353" w:type="pct"/>
            <w:vAlign w:val="center"/>
          </w:tcPr>
          <w:p w:rsidR="00AF1923" w:rsidRPr="00CC23A3" w:rsidRDefault="00AF1923" w:rsidP="000D2F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НПК «Шаг в будущее»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F1923" w:rsidRPr="00CC23A3" w:rsidTr="00CC23A3">
        <w:tc>
          <w:tcPr>
            <w:tcW w:w="2353" w:type="pct"/>
            <w:vAlign w:val="center"/>
          </w:tcPr>
          <w:p w:rsidR="00AF1923" w:rsidRPr="00CC23A3" w:rsidRDefault="00AF1923" w:rsidP="000D2F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НПК, сетевой проект «Лукинские чтения»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F1923" w:rsidRPr="00CC23A3" w:rsidTr="00CC23A3">
        <w:tc>
          <w:tcPr>
            <w:tcW w:w="2353" w:type="pct"/>
            <w:vAlign w:val="center"/>
          </w:tcPr>
          <w:p w:rsidR="00AF1923" w:rsidRPr="00CC23A3" w:rsidRDefault="00AF1923" w:rsidP="000D2F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Международная олимпиада «Осень-2016» проекта «Инфоурок»</w:t>
            </w:r>
          </w:p>
        </w:tc>
        <w:tc>
          <w:tcPr>
            <w:tcW w:w="1399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8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AF1923" w:rsidP="000D2FC6">
            <w:pPr>
              <w:rPr>
                <w:rFonts w:cstheme="minorBidi"/>
                <w:sz w:val="22"/>
                <w:szCs w:val="22"/>
              </w:rPr>
            </w:pPr>
            <w:r w:rsidRPr="00CC23A3">
              <w:rPr>
                <w:rFonts w:cstheme="minorBidi"/>
                <w:sz w:val="22"/>
                <w:szCs w:val="22"/>
                <w:lang w:val="en-US"/>
              </w:rPr>
              <w:t>XIII</w:t>
            </w:r>
            <w:r w:rsidRPr="00CC23A3">
              <w:rPr>
                <w:rFonts w:cstheme="minorBidi"/>
                <w:sz w:val="22"/>
                <w:szCs w:val="22"/>
              </w:rPr>
              <w:t xml:space="preserve"> международная олимпиада по основам наук по предмету: математика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8" w:type="pct"/>
          </w:tcPr>
          <w:p w:rsidR="00AF1923" w:rsidRPr="00CC23A3" w:rsidRDefault="00F0287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AF1923" w:rsidP="000D2FC6">
            <w:pPr>
              <w:rPr>
                <w:rFonts w:cstheme="minorBidi"/>
                <w:sz w:val="22"/>
                <w:szCs w:val="22"/>
              </w:rPr>
            </w:pPr>
            <w:r w:rsidRPr="00CC23A3">
              <w:rPr>
                <w:rFonts w:cstheme="minorBidi"/>
                <w:sz w:val="22"/>
                <w:szCs w:val="22"/>
                <w:lang w:val="en-US"/>
              </w:rPr>
              <w:t>I</w:t>
            </w:r>
            <w:r w:rsidRPr="00CC23A3">
              <w:rPr>
                <w:rFonts w:cstheme="minorBidi"/>
                <w:sz w:val="22"/>
                <w:szCs w:val="22"/>
              </w:rPr>
              <w:t xml:space="preserve"> всероссийская олимпиада по математике «Мир олимпиад»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AF1923" w:rsidRPr="00CC23A3" w:rsidTr="00CC23A3">
        <w:tc>
          <w:tcPr>
            <w:tcW w:w="2353" w:type="pct"/>
          </w:tcPr>
          <w:p w:rsidR="00AF1923" w:rsidRPr="00CC23A3" w:rsidRDefault="00AF1923" w:rsidP="000D2FC6">
            <w:pPr>
              <w:rPr>
                <w:rFonts w:cstheme="minorBidi"/>
                <w:sz w:val="22"/>
                <w:szCs w:val="22"/>
              </w:rPr>
            </w:pPr>
            <w:r w:rsidRPr="00CC23A3">
              <w:rPr>
                <w:rFonts w:cstheme="minorBidi"/>
                <w:sz w:val="22"/>
                <w:szCs w:val="22"/>
              </w:rPr>
              <w:t>Онлайн-олимпиада «Плюс» (рук. Ященко)</w:t>
            </w:r>
          </w:p>
        </w:tc>
        <w:tc>
          <w:tcPr>
            <w:tcW w:w="1399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pct"/>
          </w:tcPr>
          <w:p w:rsidR="00AF1923" w:rsidRPr="00CC23A3" w:rsidRDefault="00AF1923" w:rsidP="00CC23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3A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0D2FC6" w:rsidRDefault="000D2FC6" w:rsidP="000B7EF1">
      <w:pPr>
        <w:ind w:firstLine="709"/>
        <w:jc w:val="both"/>
      </w:pPr>
    </w:p>
    <w:p w:rsidR="000B7EF1" w:rsidRPr="000B7EF1" w:rsidRDefault="000B7EF1" w:rsidP="000B7EF1">
      <w:pPr>
        <w:ind w:firstLine="709"/>
        <w:jc w:val="both"/>
      </w:pPr>
      <w:r w:rsidRPr="000B7EF1">
        <w:lastRenderedPageBreak/>
        <w:t>Использование И</w:t>
      </w:r>
      <w:r w:rsidR="000D2FC6">
        <w:t>ОМ за 5</w:t>
      </w:r>
      <w:r w:rsidRPr="000B7EF1">
        <w:t xml:space="preserve"> последних учебных года способствовало: </w:t>
      </w:r>
    </w:p>
    <w:p w:rsidR="00E1205A" w:rsidRDefault="000B7EF1" w:rsidP="00E1205A">
      <w:pPr>
        <w:pStyle w:val="a4"/>
        <w:numPr>
          <w:ilvl w:val="0"/>
          <w:numId w:val="12"/>
        </w:numPr>
        <w:jc w:val="both"/>
      </w:pPr>
      <w:r w:rsidRPr="000B7EF1">
        <w:t>повышению качества усвоения знаний по математи</w:t>
      </w:r>
      <w:r w:rsidR="000D2FC6">
        <w:t>ке школьниками до 70</w:t>
      </w:r>
      <w:r w:rsidRPr="000B7EF1">
        <w:t xml:space="preserve"> %;</w:t>
      </w:r>
    </w:p>
    <w:p w:rsidR="00E1205A" w:rsidRDefault="000B7EF1" w:rsidP="00E1205A">
      <w:pPr>
        <w:pStyle w:val="a4"/>
        <w:numPr>
          <w:ilvl w:val="0"/>
          <w:numId w:val="12"/>
        </w:numPr>
        <w:jc w:val="both"/>
      </w:pPr>
      <w:r w:rsidRPr="000B7EF1">
        <w:t>развитию самостоятельности;</w:t>
      </w:r>
    </w:p>
    <w:p w:rsidR="000B7EF1" w:rsidRPr="000B7EF1" w:rsidRDefault="000B7EF1" w:rsidP="00E1205A">
      <w:pPr>
        <w:pStyle w:val="a4"/>
        <w:numPr>
          <w:ilvl w:val="0"/>
          <w:numId w:val="12"/>
        </w:numPr>
        <w:jc w:val="both"/>
      </w:pPr>
      <w:r w:rsidRPr="000B7EF1">
        <w:t>повы</w:t>
      </w:r>
      <w:r w:rsidR="006B2187">
        <w:t>шению</w:t>
      </w:r>
      <w:r w:rsidR="00E1205A">
        <w:t xml:space="preserve"> творческой активности.</w:t>
      </w:r>
    </w:p>
    <w:p w:rsidR="00D30114" w:rsidRDefault="00D30114" w:rsidP="00D3011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D30114" w:rsidRDefault="00D30114" w:rsidP="00D3011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Положительным результатом моей работы считаю:</w:t>
      </w:r>
    </w:p>
    <w:p w:rsidR="00D30114" w:rsidRDefault="008350B2" w:rsidP="00D30114">
      <w:pPr>
        <w:pStyle w:val="a4"/>
        <w:numPr>
          <w:ilvl w:val="0"/>
          <w:numId w:val="13"/>
        </w:numPr>
        <w:jc w:val="both"/>
      </w:pPr>
      <w:r>
        <w:rPr>
          <w:bCs/>
        </w:rPr>
        <w:t>результаты</w:t>
      </w:r>
      <w:r w:rsidR="00D30114" w:rsidRPr="00E1205A">
        <w:rPr>
          <w:bCs/>
        </w:rPr>
        <w:t xml:space="preserve"> итоговой аттестации в форме ЕГЭ</w:t>
      </w:r>
      <w:r w:rsidR="00D30114" w:rsidRPr="00E1205A">
        <w:rPr>
          <w:b/>
          <w:bCs/>
        </w:rPr>
        <w:t xml:space="preserve"> </w:t>
      </w:r>
      <w:r w:rsidR="00D30114" w:rsidRPr="00E1205A">
        <w:rPr>
          <w:bCs/>
        </w:rPr>
        <w:t xml:space="preserve">и ОГЭ </w:t>
      </w:r>
      <w:r w:rsidR="00D30114" w:rsidRPr="00E1205A">
        <w:rPr>
          <w:b/>
          <w:bCs/>
        </w:rPr>
        <w:t>-</w:t>
      </w:r>
      <w:r w:rsidR="00D30114" w:rsidRPr="000B7EF1">
        <w:t xml:space="preserve"> </w:t>
      </w:r>
      <w:r w:rsidR="00D30114">
        <w:t>100% сдача экзамена;</w:t>
      </w:r>
    </w:p>
    <w:p w:rsidR="00D30114" w:rsidRPr="008350B2" w:rsidRDefault="00D30114" w:rsidP="00D30114">
      <w:pPr>
        <w:pStyle w:val="a4"/>
        <w:numPr>
          <w:ilvl w:val="0"/>
          <w:numId w:val="13"/>
        </w:numPr>
        <w:jc w:val="both"/>
        <w:rPr>
          <w:rStyle w:val="c2"/>
        </w:rPr>
      </w:pPr>
      <w:r w:rsidRPr="00D30114">
        <w:rPr>
          <w:rStyle w:val="c2"/>
          <w:color w:val="000000"/>
        </w:rPr>
        <w:t xml:space="preserve"> поступление моих</w:t>
      </w:r>
      <w:r w:rsidR="006B2187">
        <w:rPr>
          <w:rStyle w:val="c2"/>
          <w:color w:val="000000"/>
        </w:rPr>
        <w:t xml:space="preserve"> учеников в технические ССУЗы и ВУЗы </w:t>
      </w:r>
      <w:r w:rsidRPr="00D30114">
        <w:rPr>
          <w:rStyle w:val="c2"/>
          <w:color w:val="000000"/>
        </w:rPr>
        <w:t xml:space="preserve">Республики </w:t>
      </w:r>
      <w:r>
        <w:rPr>
          <w:rStyle w:val="c2"/>
          <w:color w:val="000000"/>
        </w:rPr>
        <w:t>Саха (Якутия)</w:t>
      </w:r>
      <w:r w:rsidRPr="00D30114">
        <w:rPr>
          <w:rStyle w:val="c2"/>
          <w:color w:val="000000"/>
        </w:rPr>
        <w:t xml:space="preserve"> и России, где они успешно продолжают обучение.</w:t>
      </w:r>
    </w:p>
    <w:p w:rsidR="008350B2" w:rsidRPr="00D30114" w:rsidRDefault="008350B2" w:rsidP="008350B2">
      <w:pPr>
        <w:jc w:val="both"/>
      </w:pPr>
      <w:r>
        <w:t xml:space="preserve">Хочется отметить, что работа по ИОМ позволяет слабоуспевающим учащимся добиться положительных результатов. Так, выпускник 2014 года Стручков Александр, которому ПМПК показала задержку психического развития, обучившись по ИОМ, поступил в ССУЗ, успешно окончив которое, в данное время обучается в ЯГСХА. </w:t>
      </w:r>
    </w:p>
    <w:p w:rsidR="00D30114" w:rsidRDefault="00D30114" w:rsidP="000B7EF1">
      <w:pPr>
        <w:ind w:firstLine="709"/>
        <w:jc w:val="both"/>
      </w:pPr>
    </w:p>
    <w:p w:rsidR="00E1205A" w:rsidRPr="00816743" w:rsidRDefault="00E1205A" w:rsidP="00816743">
      <w:pPr>
        <w:ind w:firstLine="851"/>
        <w:jc w:val="both"/>
        <w:rPr>
          <w:b/>
        </w:rPr>
      </w:pPr>
      <w:r w:rsidRPr="00E1205A">
        <w:rPr>
          <w:b/>
        </w:rPr>
        <w:t>7. Возможность тиражирования.</w:t>
      </w:r>
    </w:p>
    <w:p w:rsidR="00E1205A" w:rsidRPr="0084588B" w:rsidRDefault="00E1205A" w:rsidP="00E1205A">
      <w:pPr>
        <w:ind w:firstLine="709"/>
        <w:jc w:val="both"/>
      </w:pPr>
      <w:r>
        <w:t xml:space="preserve">Обобщение собственного педагогического опыта по теме самообразования </w:t>
      </w:r>
      <w:r w:rsidR="0084588B">
        <w:t>реализовано в выступлении</w:t>
      </w:r>
      <w:r>
        <w:t xml:space="preserve"> на </w:t>
      </w:r>
      <w:r w:rsidR="0084588B">
        <w:t>улусной научно-педагогической</w:t>
      </w:r>
      <w:r>
        <w:t xml:space="preserve"> конф</w:t>
      </w:r>
      <w:r w:rsidR="0084588B">
        <w:t xml:space="preserve">еренции «Реализация ФГОС: проблемы, возможности, опыт и перспективы», в секции «Реализация индивидуальных форм и методов организации образовательного процесса детей с различными образовательными потребностями» - диплом </w:t>
      </w:r>
      <w:r w:rsidR="0084588B">
        <w:rPr>
          <w:lang w:val="en-US"/>
        </w:rPr>
        <w:t>III</w:t>
      </w:r>
      <w:r w:rsidR="0084588B">
        <w:t xml:space="preserve"> степени</w:t>
      </w:r>
      <w:r>
        <w:t>.</w:t>
      </w:r>
      <w:r w:rsidR="0084588B" w:rsidRPr="0084588B">
        <w:t xml:space="preserve"> </w:t>
      </w:r>
    </w:p>
    <w:p w:rsidR="0084588B" w:rsidRDefault="0084588B" w:rsidP="00E1205A">
      <w:pPr>
        <w:ind w:firstLine="709"/>
        <w:jc w:val="both"/>
      </w:pPr>
    </w:p>
    <w:p w:rsidR="0084588B" w:rsidRPr="0084588B" w:rsidRDefault="0084588B" w:rsidP="00E1205A">
      <w:pPr>
        <w:ind w:firstLine="709"/>
        <w:jc w:val="both"/>
      </w:pPr>
    </w:p>
    <w:p w:rsidR="000B7EF1" w:rsidRDefault="000B7EF1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Default="006B45D2" w:rsidP="000B7EF1">
      <w:pPr>
        <w:ind w:firstLine="709"/>
        <w:jc w:val="both"/>
      </w:pPr>
    </w:p>
    <w:p w:rsidR="006B45D2" w:rsidRPr="00822523" w:rsidRDefault="006B45D2" w:rsidP="000B7EF1">
      <w:pPr>
        <w:ind w:firstLine="709"/>
        <w:jc w:val="both"/>
      </w:pPr>
    </w:p>
    <w:p w:rsidR="00E1205A" w:rsidRDefault="00E1205A" w:rsidP="006B2187">
      <w:pPr>
        <w:jc w:val="both"/>
      </w:pPr>
    </w:p>
    <w:p w:rsidR="001E7F30" w:rsidRDefault="001E7F30" w:rsidP="006B2187">
      <w:pPr>
        <w:jc w:val="both"/>
      </w:pPr>
    </w:p>
    <w:sectPr w:rsidR="001E7F30" w:rsidSect="00C96503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1F8C"/>
    <w:multiLevelType w:val="hybridMultilevel"/>
    <w:tmpl w:val="44B4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6DE1683"/>
    <w:multiLevelType w:val="hybridMultilevel"/>
    <w:tmpl w:val="967230A8"/>
    <w:lvl w:ilvl="0" w:tplc="8BE45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41D8"/>
    <w:multiLevelType w:val="hybridMultilevel"/>
    <w:tmpl w:val="757226D4"/>
    <w:lvl w:ilvl="0" w:tplc="B45E02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6A6342"/>
    <w:multiLevelType w:val="hybridMultilevel"/>
    <w:tmpl w:val="6624E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52D5"/>
    <w:multiLevelType w:val="hybridMultilevel"/>
    <w:tmpl w:val="197288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1616E"/>
    <w:multiLevelType w:val="hybridMultilevel"/>
    <w:tmpl w:val="715C6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012937"/>
    <w:multiLevelType w:val="hybridMultilevel"/>
    <w:tmpl w:val="97620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83E26"/>
    <w:multiLevelType w:val="hybridMultilevel"/>
    <w:tmpl w:val="3D36B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8412FB"/>
    <w:multiLevelType w:val="hybridMultilevel"/>
    <w:tmpl w:val="FBB62184"/>
    <w:lvl w:ilvl="0" w:tplc="1F707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B53F8"/>
    <w:multiLevelType w:val="hybridMultilevel"/>
    <w:tmpl w:val="40149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4D25EA"/>
    <w:multiLevelType w:val="hybridMultilevel"/>
    <w:tmpl w:val="813C52F2"/>
    <w:lvl w:ilvl="0" w:tplc="43D6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3"/>
    <w:rsid w:val="000B7EF1"/>
    <w:rsid w:val="000D2FC6"/>
    <w:rsid w:val="000F36D4"/>
    <w:rsid w:val="001147C5"/>
    <w:rsid w:val="001E7F30"/>
    <w:rsid w:val="003364E4"/>
    <w:rsid w:val="00382C96"/>
    <w:rsid w:val="00453835"/>
    <w:rsid w:val="0048291C"/>
    <w:rsid w:val="00522D99"/>
    <w:rsid w:val="00545E2C"/>
    <w:rsid w:val="00551EC9"/>
    <w:rsid w:val="00660827"/>
    <w:rsid w:val="006751B2"/>
    <w:rsid w:val="006A303D"/>
    <w:rsid w:val="006B2187"/>
    <w:rsid w:val="006B45D2"/>
    <w:rsid w:val="00804E32"/>
    <w:rsid w:val="00816743"/>
    <w:rsid w:val="00822523"/>
    <w:rsid w:val="008350B2"/>
    <w:rsid w:val="0084588B"/>
    <w:rsid w:val="0086013A"/>
    <w:rsid w:val="009125A1"/>
    <w:rsid w:val="009727D6"/>
    <w:rsid w:val="00973635"/>
    <w:rsid w:val="009927A9"/>
    <w:rsid w:val="00997989"/>
    <w:rsid w:val="009C03D3"/>
    <w:rsid w:val="00A94431"/>
    <w:rsid w:val="00AF1923"/>
    <w:rsid w:val="00B7564F"/>
    <w:rsid w:val="00BA78D1"/>
    <w:rsid w:val="00BC2AE3"/>
    <w:rsid w:val="00C96503"/>
    <w:rsid w:val="00CA77C7"/>
    <w:rsid w:val="00CC23A3"/>
    <w:rsid w:val="00D30114"/>
    <w:rsid w:val="00D54141"/>
    <w:rsid w:val="00DB26A6"/>
    <w:rsid w:val="00E1205A"/>
    <w:rsid w:val="00EB6CD2"/>
    <w:rsid w:val="00F02873"/>
    <w:rsid w:val="00F140FA"/>
    <w:rsid w:val="00F30CB0"/>
    <w:rsid w:val="00F84782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9387-BEC1-46A6-ADFB-E1CD368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503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965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5A1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C03D3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9C03D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0B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0D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1205A"/>
    <w:pPr>
      <w:spacing w:before="100" w:beforeAutospacing="1" w:after="100" w:afterAutospacing="1"/>
    </w:pPr>
  </w:style>
  <w:style w:type="character" w:customStyle="1" w:styleId="c2">
    <w:name w:val="c2"/>
    <w:basedOn w:val="a0"/>
    <w:rsid w:val="00E1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ЦИТ-09</dc:creator>
  <cp:keywords/>
  <dc:description/>
  <cp:lastModifiedBy>ЦИТ-09</cp:lastModifiedBy>
  <cp:revision>15</cp:revision>
  <dcterms:created xsi:type="dcterms:W3CDTF">2017-04-06T06:16:00Z</dcterms:created>
  <dcterms:modified xsi:type="dcterms:W3CDTF">2017-04-07T10:45:00Z</dcterms:modified>
</cp:coreProperties>
</file>