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4" w:rsidRDefault="00523264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7562850" cy="10687050"/>
            <wp:effectExtent l="19050" t="0" r="0" b="0"/>
            <wp:wrapTopAndBottom/>
            <wp:docPr id="2" name="Рисунок 2" descr="C:\Users\Max\Desktop\локальные для обр\жпег\положение о распространении ст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локальные для обр\жпег\положение о распространении сти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A15" w:rsidRDefault="00E47A15">
      <w:pPr>
        <w:numPr>
          <w:ilvl w:val="0"/>
          <w:numId w:val="2"/>
        </w:numPr>
        <w:jc w:val="both"/>
      </w:pPr>
      <w:r>
        <w:lastRenderedPageBreak/>
        <w:t>Удельный вес выпускников 11–х классов, сдававших итоговую аттестацию в форме ЕГЭ по профильным предметам, набравших высокий балл по ЕГЭ;</w:t>
      </w:r>
    </w:p>
    <w:p w:rsidR="00E47A15" w:rsidRDefault="00E47A15">
      <w:pPr>
        <w:numPr>
          <w:ilvl w:val="0"/>
          <w:numId w:val="2"/>
        </w:numPr>
        <w:jc w:val="both"/>
      </w:pPr>
      <w:r>
        <w:t>Удельный вес выпускников 9–х классов, сдававших итоговую аттестацию в новой форме по профильным предметам, набравшие  высокий балл;</w:t>
      </w:r>
    </w:p>
    <w:p w:rsidR="00E47A15" w:rsidRDefault="00E47A15">
      <w:pPr>
        <w:numPr>
          <w:ilvl w:val="0"/>
          <w:numId w:val="2"/>
        </w:numPr>
        <w:jc w:val="both"/>
      </w:pPr>
      <w:r>
        <w:t>Наличие   призёров городских,  региональных и общероссийских, международных предметных  олимпиад в общей численности от обучающихся (в классе, по предмету, в параллели, в школе);</w:t>
      </w:r>
    </w:p>
    <w:p w:rsidR="00E47A15" w:rsidRDefault="00E47A15">
      <w:pPr>
        <w:numPr>
          <w:ilvl w:val="0"/>
          <w:numId w:val="2"/>
        </w:numPr>
        <w:jc w:val="both"/>
      </w:pPr>
      <w:r>
        <w:t>Участие  обучающихся  в  городских, региональных, общероссийских, международных научно-практических конференциях от числа обучающихся в классе, по предмету, в параллели, в школе);</w:t>
      </w:r>
    </w:p>
    <w:p w:rsidR="00E47A15" w:rsidRDefault="00E47A15">
      <w:pPr>
        <w:jc w:val="both"/>
      </w:pPr>
    </w:p>
    <w:p w:rsidR="00E47A15" w:rsidRDefault="00E47A15">
      <w:pPr>
        <w:ind w:firstLine="360"/>
        <w:rPr>
          <w:i/>
          <w:color w:val="000000"/>
        </w:rPr>
      </w:pPr>
      <w:r>
        <w:rPr>
          <w:i/>
        </w:rPr>
        <w:t xml:space="preserve">3.1.2 </w:t>
      </w:r>
      <w:r>
        <w:rPr>
          <w:i/>
          <w:color w:val="000000"/>
        </w:rPr>
        <w:t>Профессиональная компетентность:</w:t>
      </w:r>
    </w:p>
    <w:p w:rsidR="00E47A15" w:rsidRDefault="00E47A15">
      <w:pPr>
        <w:numPr>
          <w:ilvl w:val="0"/>
          <w:numId w:val="11"/>
        </w:numPr>
        <w:tabs>
          <w:tab w:val="clear" w:pos="360"/>
        </w:tabs>
        <w:ind w:left="720"/>
        <w:jc w:val="both"/>
        <w:rPr>
          <w:color w:val="000000"/>
        </w:rPr>
      </w:pPr>
      <w:r>
        <w:t>Ведение работы в условиях проведения объявленного эксперимента в рамках выполнения федеральных, региональных и иных утвержденных программ;</w:t>
      </w:r>
    </w:p>
    <w:p w:rsidR="00E47A15" w:rsidRDefault="00E47A15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color w:val="000000"/>
        </w:rPr>
      </w:pPr>
      <w:r>
        <w:rPr>
          <w:color w:val="000000"/>
        </w:rPr>
        <w:t>Периодическое повышение квалификации не реже 1 раза в пять лет,  профессиональная переподготовка, обучение в аспирантуре, наличие учёной степени;</w:t>
      </w:r>
    </w:p>
    <w:p w:rsidR="00E47A15" w:rsidRDefault="00E47A15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color w:val="000000"/>
        </w:rPr>
      </w:pPr>
      <w:r>
        <w:t>Внедрение и использование  новых педагогических, информационных  технологий, авторских программ в  образовательном процессе;</w:t>
      </w:r>
    </w:p>
    <w:p w:rsidR="00E47A15" w:rsidRDefault="00E47A15">
      <w:pPr>
        <w:numPr>
          <w:ilvl w:val="0"/>
          <w:numId w:val="5"/>
        </w:numPr>
        <w:tabs>
          <w:tab w:val="clear" w:pos="360"/>
        </w:tabs>
        <w:ind w:left="720"/>
        <w:jc w:val="both"/>
      </w:pPr>
      <w:r>
        <w:t>Активное  использование здоровьесберегающих технологий в  образовательном процессе, отсутствие отрицательной динамики  состояния здоровья обучающихся;</w:t>
      </w:r>
    </w:p>
    <w:p w:rsidR="00E47A15" w:rsidRDefault="00E47A15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color w:val="000000"/>
        </w:rPr>
      </w:pPr>
      <w:r>
        <w:rPr>
          <w:color w:val="000000"/>
        </w:rPr>
        <w:t>Постоянное участие  в  обобщении и распространении  педагогического  опыта  через  городские,  региональные, российские  педагогические  чтения, научно-практические конференции,  профессиональные конкурсы, творческие  мастерские, круглые столы и т.п.;</w:t>
      </w:r>
    </w:p>
    <w:p w:rsidR="00E47A15" w:rsidRDefault="00E47A15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color w:val="000000"/>
        </w:rPr>
      </w:pPr>
      <w:r>
        <w:rPr>
          <w:color w:val="000000"/>
        </w:rPr>
        <w:t>Участие учителя в общественной работе  образовательного учреждения, эффективное решение  образовател</w:t>
      </w:r>
      <w:r>
        <w:rPr>
          <w:color w:val="000000"/>
        </w:rPr>
        <w:t>ь</w:t>
      </w:r>
      <w:r>
        <w:rPr>
          <w:color w:val="000000"/>
        </w:rPr>
        <w:t>но-воспитательных задач с  привлечением органов самоуправления класса, образовательного учреждения,  педагогического сообщества;</w:t>
      </w:r>
    </w:p>
    <w:p w:rsidR="00E47A15" w:rsidRDefault="00E47A15">
      <w:pPr>
        <w:numPr>
          <w:ilvl w:val="0"/>
          <w:numId w:val="5"/>
        </w:numPr>
        <w:tabs>
          <w:tab w:val="clear" w:pos="360"/>
        </w:tabs>
        <w:ind w:left="720"/>
        <w:jc w:val="both"/>
      </w:pPr>
      <w:r>
        <w:t>Высокий уровень исполнительской дисциплины, отсутствие  дисциплинарных взысканий и административных  наказаний;</w:t>
      </w:r>
    </w:p>
    <w:p w:rsidR="00E47A15" w:rsidRDefault="00E47A15">
      <w:pPr>
        <w:jc w:val="both"/>
        <w:rPr>
          <w:color w:val="000000"/>
        </w:rPr>
      </w:pPr>
    </w:p>
    <w:p w:rsidR="00E47A15" w:rsidRDefault="00E47A15">
      <w:pPr>
        <w:jc w:val="center"/>
        <w:rPr>
          <w:i/>
        </w:rPr>
      </w:pPr>
      <w:r>
        <w:rPr>
          <w:i/>
        </w:rPr>
        <w:t>3.1.3. Критерии интеграции и социализации  обучающихся в том числе детей с ограниченными возможностями  здоровья):</w:t>
      </w:r>
    </w:p>
    <w:p w:rsidR="00E47A15" w:rsidRDefault="00E47A15">
      <w:pPr>
        <w:numPr>
          <w:ilvl w:val="0"/>
          <w:numId w:val="9"/>
        </w:numPr>
        <w:jc w:val="both"/>
      </w:pPr>
      <w:r>
        <w:t>Стабильное сохранение  контингента  обучающихся;</w:t>
      </w:r>
    </w:p>
    <w:p w:rsidR="00E47A15" w:rsidRDefault="00E47A15">
      <w:pPr>
        <w:numPr>
          <w:ilvl w:val="0"/>
          <w:numId w:val="4"/>
        </w:numPr>
        <w:jc w:val="both"/>
      </w:pPr>
      <w:r>
        <w:t>Количество  выпускников 11 –х классов, поступивших в высшие и средне-специальные  учебные заведения;</w:t>
      </w:r>
    </w:p>
    <w:p w:rsidR="00E47A15" w:rsidRDefault="00E47A15">
      <w:pPr>
        <w:ind w:left="360"/>
        <w:jc w:val="both"/>
      </w:pPr>
    </w:p>
    <w:p w:rsidR="00E47A15" w:rsidRDefault="00E47A15">
      <w:pPr>
        <w:numPr>
          <w:ilvl w:val="0"/>
          <w:numId w:val="4"/>
        </w:numPr>
        <w:jc w:val="both"/>
      </w:pPr>
      <w:r>
        <w:t>Выравнивание  и коррекция знаний  педагогически запущенных  обучающихся, обучающихся с ограниченными возможностями здоровья,  вовлечение  данной категории  обучающихся в общественно-полезную деятельность;</w:t>
      </w:r>
    </w:p>
    <w:p w:rsidR="00E47A15" w:rsidRDefault="00E47A15">
      <w:pPr>
        <w:jc w:val="both"/>
      </w:pPr>
    </w:p>
    <w:p w:rsidR="00E47A15" w:rsidRDefault="00E47A15">
      <w:pPr>
        <w:jc w:val="center"/>
        <w:rPr>
          <w:i/>
        </w:rPr>
      </w:pPr>
      <w:r>
        <w:rPr>
          <w:i/>
        </w:rPr>
        <w:t>3.1.4.  Критерии удовлетворённости заказчиков образовательных услуг:</w:t>
      </w:r>
    </w:p>
    <w:p w:rsidR="00E47A15" w:rsidRDefault="00E47A15">
      <w:pPr>
        <w:numPr>
          <w:ilvl w:val="0"/>
          <w:numId w:val="7"/>
        </w:numPr>
        <w:jc w:val="both"/>
      </w:pPr>
      <w:r>
        <w:t>Позитивное отношение  родительской общественности,  выпускников, местного сообщества;</w:t>
      </w:r>
    </w:p>
    <w:p w:rsidR="00E47A15" w:rsidRDefault="00E47A15">
      <w:pPr>
        <w:ind w:left="360"/>
        <w:jc w:val="both"/>
      </w:pPr>
    </w:p>
    <w:p w:rsidR="00E47A15" w:rsidRDefault="00E47A15">
      <w:pPr>
        <w:jc w:val="center"/>
        <w:rPr>
          <w:i/>
        </w:rPr>
      </w:pPr>
      <w:r>
        <w:rPr>
          <w:i/>
        </w:rPr>
        <w:t>2.6  Критерии социальной правовой защиты  обучающихся:</w:t>
      </w:r>
    </w:p>
    <w:p w:rsidR="00E47A15" w:rsidRDefault="00E47A15">
      <w:pPr>
        <w:numPr>
          <w:ilvl w:val="0"/>
          <w:numId w:val="8"/>
        </w:numPr>
        <w:jc w:val="both"/>
      </w:pPr>
      <w:r>
        <w:t>Обеспечение и создание безопасных условий  обучения;</w:t>
      </w:r>
    </w:p>
    <w:p w:rsidR="00E47A15" w:rsidRDefault="00E47A15">
      <w:pPr>
        <w:jc w:val="both"/>
      </w:pPr>
    </w:p>
    <w:p w:rsidR="00E47A15" w:rsidRDefault="00E47A15">
      <w:pPr>
        <w:jc w:val="both"/>
      </w:pPr>
    </w:p>
    <w:p w:rsidR="00E47A15" w:rsidRDefault="00E47A15">
      <w:pPr>
        <w:ind w:left="360"/>
        <w:jc w:val="center"/>
        <w:rPr>
          <w:b/>
        </w:rPr>
      </w:pPr>
      <w:r>
        <w:rPr>
          <w:b/>
        </w:rPr>
        <w:lastRenderedPageBreak/>
        <w:t>4.Критерии для  установления  доплат (премий)  административно-управленческому  персоналу</w:t>
      </w:r>
    </w:p>
    <w:p w:rsidR="00E47A15" w:rsidRDefault="00E47A15">
      <w:pPr>
        <w:ind w:left="360"/>
        <w:jc w:val="center"/>
        <w:rPr>
          <w:b/>
        </w:rPr>
      </w:pPr>
    </w:p>
    <w:p w:rsidR="00E47A15" w:rsidRDefault="00E47A15">
      <w:pPr>
        <w:jc w:val="both"/>
      </w:pPr>
      <w:r>
        <w:t>4.1.Обеспечение  своевременного выполнения текущего и перспективного планирования  общеобразовательного учреждения;</w:t>
      </w:r>
    </w:p>
    <w:p w:rsidR="00E47A15" w:rsidRDefault="00E47A15">
      <w:pPr>
        <w:jc w:val="both"/>
      </w:pPr>
      <w:r>
        <w:t>4.2.Высокое качество  подготовки и исполнения  административно-управленческих  решений, распорядительных документов, локальных актов;</w:t>
      </w:r>
    </w:p>
    <w:p w:rsidR="00E47A15" w:rsidRDefault="00E47A15">
      <w:pPr>
        <w:jc w:val="both"/>
      </w:pPr>
      <w:r>
        <w:t>4.3.Высокая координация работы учителей, воспитателей, других педагогических работников во выполнению учебных программ, планов, качественная разработка и исполнение  необходимой   учебно-методической  документации;</w:t>
      </w:r>
    </w:p>
    <w:p w:rsidR="00E47A15" w:rsidRDefault="00E47A15">
      <w:pPr>
        <w:jc w:val="both"/>
      </w:pPr>
      <w:r>
        <w:t>4.4.Организация стабильного  повышения  профессионального мастерства  педагогических  работников,  квалификационного уровня;</w:t>
      </w:r>
    </w:p>
    <w:p w:rsidR="00E47A15" w:rsidRDefault="00E47A15">
      <w:pPr>
        <w:jc w:val="both"/>
      </w:pPr>
      <w:r>
        <w:t>4.5.Своевременный и высокий уровень контроля за всеобучем,  качеством образовательного и воспитательного процесса, объективное  оценивание  результатов  образовательной подготовки обучающихся;</w:t>
      </w:r>
    </w:p>
    <w:p w:rsidR="00E47A15" w:rsidRDefault="00E47A15">
      <w:pPr>
        <w:jc w:val="both"/>
      </w:pPr>
      <w:r>
        <w:t>4.6.Высокий  образовательный уровень  педагогического  персонала,  стабильное  повышение  профессиональной квалификации;</w:t>
      </w:r>
    </w:p>
    <w:p w:rsidR="00E47A15" w:rsidRDefault="00E47A15">
      <w:pPr>
        <w:jc w:val="both"/>
      </w:pPr>
      <w:r>
        <w:t>4.7.Высокие показатели  работы методических объединений общеобразовательного  учреждения,  результативное участие в  муниципальных, республиканских, региональных и российских  мероприятиях;</w:t>
      </w:r>
    </w:p>
    <w:p w:rsidR="00E47A15" w:rsidRDefault="00E47A15">
      <w:pPr>
        <w:jc w:val="both"/>
      </w:pPr>
      <w:r>
        <w:t>4.8.Постоянное активное, результативное  участие  общеобразовательного  учреждения  в  муниципальных, республиканских, региональных, российских конкурсах, смотрах, научно-практических конференциях, фестивалях;</w:t>
      </w:r>
    </w:p>
    <w:p w:rsidR="00E47A15" w:rsidRDefault="00E47A15">
      <w:pPr>
        <w:jc w:val="both"/>
      </w:pPr>
      <w:r>
        <w:t>4.9.Количество  выпускников 11 –х классов поступивших в высшие и средне-специальные  учебные заведения;</w:t>
      </w:r>
    </w:p>
    <w:p w:rsidR="00E47A15" w:rsidRDefault="00E47A15">
      <w:pPr>
        <w:jc w:val="both"/>
      </w:pPr>
      <w:r>
        <w:t>4.10.Выравнивание  и коррекция знаний  педагогически запущенных  обучающихся, обучающихся с ограниченными возможностями здоровья,  вовлечение  данной категории  обучающихся в общественно-полезную деятельность;</w:t>
      </w:r>
    </w:p>
    <w:p w:rsidR="00E47A15" w:rsidRDefault="00E47A15">
      <w:pPr>
        <w:jc w:val="both"/>
      </w:pPr>
      <w:r>
        <w:t>4.11.Постоянное активное  внедрение и использование современных образовательных технологий, в том числе информационно-коммуникационных в деятельности  общеобразовательного учреждения, в том числе в учебно- образовательном  процессе, (использование электронных программ, локальной сети учреждения для административно-хозяйственной деятельности, учебно-воспитательной деятельности,  интегрированных  уроков, создания электронных пособий);</w:t>
      </w:r>
    </w:p>
    <w:p w:rsidR="00E47A15" w:rsidRDefault="00E47A15">
      <w:pPr>
        <w:jc w:val="both"/>
      </w:pPr>
      <w:r>
        <w:t>4.12. Создание  и совершенствование необходимых условий безопасности для жизни и здоровья всех участников  образовательного  процесса,  своевременное выполнение;</w:t>
      </w:r>
    </w:p>
    <w:p w:rsidR="00E47A15" w:rsidRDefault="00E47A15">
      <w:pPr>
        <w:jc w:val="both"/>
      </w:pPr>
      <w:r>
        <w:t>4.13. Создание  благоприятных  условия для сохранения и обеспечения  здоровьесберегающих технологий  в учебно-воспитательном  процессе,   совершенствование  медицинского  обслуживания обучающихся и  персонала;</w:t>
      </w:r>
    </w:p>
    <w:p w:rsidR="00E47A15" w:rsidRDefault="00E47A15">
      <w:pPr>
        <w:jc w:val="both"/>
      </w:pPr>
      <w:r>
        <w:t>4.14.   Использование в работе    формы публичной  отчётности  о своей деятельности и деятельности общеобразовательного учреждения  не реже одного раза в течение учебного года;</w:t>
      </w:r>
    </w:p>
    <w:p w:rsidR="00E47A15" w:rsidRDefault="00E47A15">
      <w:pPr>
        <w:jc w:val="both"/>
      </w:pPr>
      <w:r>
        <w:t>4.15. Высокий уровень исполнительской дисциплины, отсутствие  дисциплинарных взысканий и административных  наказаний;</w:t>
      </w:r>
    </w:p>
    <w:p w:rsidR="00E47A15" w:rsidRDefault="00E47A15">
      <w:pPr>
        <w:jc w:val="both"/>
      </w:pPr>
    </w:p>
    <w:p w:rsidR="00E47A15" w:rsidRDefault="00E47A15">
      <w:pPr>
        <w:jc w:val="both"/>
        <w:rPr>
          <w:i/>
        </w:rPr>
      </w:pPr>
    </w:p>
    <w:p w:rsidR="00E47A15" w:rsidRDefault="00E47A15">
      <w:pPr>
        <w:ind w:left="360"/>
        <w:jc w:val="center"/>
        <w:rPr>
          <w:b/>
        </w:rPr>
      </w:pPr>
      <w:r>
        <w:rPr>
          <w:b/>
        </w:rPr>
        <w:t>5.Критерии для  установления  доплат (премий)   младшему обслуживающему персоналу</w:t>
      </w:r>
    </w:p>
    <w:p w:rsidR="00E47A15" w:rsidRDefault="00E47A15">
      <w:pPr>
        <w:jc w:val="both"/>
      </w:pPr>
      <w:r>
        <w:t>5.1  Сохранение и обеспечение условий безопасности для жизни и здоровья всех участников  образовательного  процесса, формирование  культуры безопасности  в образовательной среде и социуме;</w:t>
      </w:r>
    </w:p>
    <w:p w:rsidR="00E47A15" w:rsidRDefault="00E47A15">
      <w:pPr>
        <w:jc w:val="both"/>
      </w:pPr>
      <w:r>
        <w:lastRenderedPageBreak/>
        <w:t>5.2.  Наличие , обеспечение  сохранности и содержание в образцовом порядке  оснащения мастерских, учебных лабораторий, кабинетов, библиотек, методических кабинетов;</w:t>
      </w:r>
    </w:p>
    <w:p w:rsidR="00E47A15" w:rsidRDefault="00E47A15">
      <w:pPr>
        <w:jc w:val="both"/>
      </w:pPr>
      <w:r>
        <w:t>5.3.   Содержание общеобразовательного  учреждения в образцовом  состоянии, (порядке);</w:t>
      </w:r>
    </w:p>
    <w:p w:rsidR="00E47A15" w:rsidRDefault="00E47A15">
      <w:pPr>
        <w:jc w:val="both"/>
      </w:pPr>
      <w:r>
        <w:t>5.4. Активное  участие в  благоустройстве, озеленении, уборке территории общеобразовательного  учреждения,  создание  отличных от других    особенностей  ландшафтного дизайна  кабинетов, помещений,  учреждения;</w:t>
      </w:r>
    </w:p>
    <w:p w:rsidR="00E47A15" w:rsidRDefault="00E47A15">
      <w:pPr>
        <w:jc w:val="both"/>
      </w:pPr>
      <w:r>
        <w:t>5.5. Обеспечение санитарно-гигиенических условий в помещениях школы;</w:t>
      </w:r>
    </w:p>
    <w:p w:rsidR="00E47A15" w:rsidRDefault="00E47A15">
      <w:pPr>
        <w:jc w:val="both"/>
      </w:pPr>
      <w:r>
        <w:t>5.6.  Высокий уровень исполнительской дисциплины, отсутствие  дисциплинарных взысканий и административных  наказаний;</w:t>
      </w:r>
    </w:p>
    <w:p w:rsidR="00E47A15" w:rsidRDefault="00E47A15">
      <w:pPr>
        <w:jc w:val="both"/>
        <w:rPr>
          <w:i/>
        </w:rPr>
      </w:pPr>
      <w:r>
        <w:t xml:space="preserve"> </w:t>
      </w:r>
    </w:p>
    <w:p w:rsidR="00E47A15" w:rsidRDefault="00E47A15">
      <w:pPr>
        <w:jc w:val="both"/>
      </w:pPr>
    </w:p>
    <w:p w:rsidR="00E47A15" w:rsidRDefault="00E47A15">
      <w:pPr>
        <w:jc w:val="center"/>
        <w:rPr>
          <w:b/>
        </w:rPr>
      </w:pPr>
      <w:r>
        <w:rPr>
          <w:b/>
        </w:rPr>
        <w:t>6. Порядок установления доплат (премий)</w:t>
      </w:r>
    </w:p>
    <w:p w:rsidR="00E47A15" w:rsidRDefault="00E47A15">
      <w:pPr>
        <w:jc w:val="center"/>
        <w:rPr>
          <w:b/>
        </w:rPr>
      </w:pPr>
    </w:p>
    <w:p w:rsidR="00E47A15" w:rsidRDefault="00E47A15">
      <w:pPr>
        <w:jc w:val="both"/>
      </w:pPr>
      <w:r>
        <w:t>6.1 Стимулирующая часть фонда оплаты труда  на уровне общеобразовательных учреждений распределяется следующим образом:</w:t>
      </w:r>
    </w:p>
    <w:p w:rsidR="00E47A15" w:rsidRDefault="00E47A15">
      <w:pPr>
        <w:jc w:val="both"/>
      </w:pPr>
      <w:r>
        <w:t>- 5%  составляет фонд директора, используемый на премирование особо отличившихся работников при выполнении  срочных, важных, неотложных работ, а также юбиляров, неработающих в школе пенсионеров, оказание материальной помощи. Выплаты из фонда директора производятся по мере необходимости. Директор согласует с председателем профкома  кандидатуры и размер выплат, осуществляемых из фонда директора;</w:t>
      </w:r>
    </w:p>
    <w:p w:rsidR="00E47A15" w:rsidRDefault="00E47A15">
      <w:pPr>
        <w:jc w:val="both"/>
      </w:pPr>
      <w:r>
        <w:t>-95 %  фонд,   который распределяет  Управляющий Совет или орган, обеспечивающий государственно-общественное управление общеобразовательным учреждением.</w:t>
      </w:r>
    </w:p>
    <w:p w:rsidR="00E47A15" w:rsidRDefault="00E47A15">
      <w:pPr>
        <w:jc w:val="both"/>
      </w:pPr>
      <w:r>
        <w:t>6.2 Источниками формирования фонда стимулирования  являются6 фиксированная стимулирующая часть фонда оплаты труда, экономия фонда оплаты труда, неиспользованный премиальный фонд предыдущего премиального периода, средства, высвобождаемые в результате оптимизации штатного расписания, привлечённые внебюджетные средства.</w:t>
      </w:r>
    </w:p>
    <w:p w:rsidR="00E47A15" w:rsidRDefault="00E47A15">
      <w:pPr>
        <w:jc w:val="both"/>
      </w:pPr>
      <w:r>
        <w:t>6.3 Распределение выплат по результатам труда стимулирующей части ФОТ производится органом, обеспечивающим государственно-общественный характер управления общеобразовательным учреждением, по представлению руководителя учреждения и с учетом мнения профсоюзной организации.</w:t>
      </w:r>
    </w:p>
    <w:p w:rsidR="00E47A15" w:rsidRDefault="00E47A15">
      <w:pPr>
        <w:jc w:val="both"/>
      </w:pPr>
      <w:r>
        <w:t>6.5  Управляющий Совет или орган, обеспечивающий государственно-общественное управление общеобразовательным учреждением  разрабатывает и утверждает  локальный акт о распределении стимулирующей части  фонда.</w:t>
      </w:r>
    </w:p>
    <w:p w:rsidR="00E47A15" w:rsidRDefault="00E47A15">
      <w:pPr>
        <w:jc w:val="both"/>
      </w:pPr>
      <w:bookmarkStart w:id="0" w:name="sub_1663"/>
      <w:r>
        <w:t>6.4. Размеры, порядок и условия осуществления стимулирующих выплат определяются в локальных правовых актах  общеобразовательного учреждения и (или) в коллективных договорах.</w:t>
      </w:r>
    </w:p>
    <w:p w:rsidR="00E47A15" w:rsidRDefault="00E47A15">
      <w:pPr>
        <w:jc w:val="both"/>
      </w:pPr>
    </w:p>
    <w:p w:rsidR="00E47A15" w:rsidRDefault="00E47A15">
      <w:pPr>
        <w:jc w:val="both"/>
      </w:pPr>
    </w:p>
    <w:bookmarkEnd w:id="0"/>
    <w:p w:rsidR="00E47A15" w:rsidRDefault="00E47A15">
      <w:pPr>
        <w:jc w:val="both"/>
      </w:pPr>
    </w:p>
    <w:sectPr w:rsidR="00E47A15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08" w:rsidRDefault="00126108">
      <w:r>
        <w:separator/>
      </w:r>
    </w:p>
  </w:endnote>
  <w:endnote w:type="continuationSeparator" w:id="1">
    <w:p w:rsidR="00126108" w:rsidRDefault="0012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08" w:rsidRDefault="00126108">
      <w:r>
        <w:separator/>
      </w:r>
    </w:p>
  </w:footnote>
  <w:footnote w:type="continuationSeparator" w:id="1">
    <w:p w:rsidR="00126108" w:rsidRDefault="0012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15" w:rsidRDefault="00E47A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A15" w:rsidRDefault="00E47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15" w:rsidRDefault="00E47A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3264">
      <w:rPr>
        <w:rStyle w:val="a4"/>
        <w:noProof/>
      </w:rPr>
      <w:t>2</w:t>
    </w:r>
    <w:r>
      <w:rPr>
        <w:rStyle w:val="a4"/>
      </w:rPr>
      <w:fldChar w:fldCharType="end"/>
    </w:r>
  </w:p>
  <w:p w:rsidR="00E47A15" w:rsidRDefault="00E47A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433"/>
    <w:multiLevelType w:val="hybridMultilevel"/>
    <w:tmpl w:val="A9AE0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D295D"/>
    <w:multiLevelType w:val="multilevel"/>
    <w:tmpl w:val="0C0442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20941768"/>
    <w:multiLevelType w:val="hybridMultilevel"/>
    <w:tmpl w:val="31C844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725825"/>
    <w:multiLevelType w:val="multilevel"/>
    <w:tmpl w:val="8A926D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24F51244"/>
    <w:multiLevelType w:val="multilevel"/>
    <w:tmpl w:val="ED34926E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5B70868"/>
    <w:multiLevelType w:val="multilevel"/>
    <w:tmpl w:val="50BCB3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220606"/>
    <w:multiLevelType w:val="multilevel"/>
    <w:tmpl w:val="731C57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BB234FA"/>
    <w:multiLevelType w:val="multilevel"/>
    <w:tmpl w:val="10B2E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19B6113"/>
    <w:multiLevelType w:val="hybridMultilevel"/>
    <w:tmpl w:val="B2A28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400B6"/>
    <w:multiLevelType w:val="hybridMultilevel"/>
    <w:tmpl w:val="D9ECF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813E5"/>
    <w:multiLevelType w:val="hybridMultilevel"/>
    <w:tmpl w:val="F8DA4C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610284"/>
    <w:multiLevelType w:val="multilevel"/>
    <w:tmpl w:val="60F62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7E037CF"/>
    <w:multiLevelType w:val="hybridMultilevel"/>
    <w:tmpl w:val="6CF8E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472637"/>
    <w:multiLevelType w:val="multilevel"/>
    <w:tmpl w:val="9F48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BCD6DAF"/>
    <w:multiLevelType w:val="hybridMultilevel"/>
    <w:tmpl w:val="4CB42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0A5D90"/>
    <w:multiLevelType w:val="hybridMultilevel"/>
    <w:tmpl w:val="491C4A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04440C"/>
    <w:multiLevelType w:val="hybridMultilevel"/>
    <w:tmpl w:val="41AE19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14749D"/>
    <w:multiLevelType w:val="multilevel"/>
    <w:tmpl w:val="F4A6319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4E538DE"/>
    <w:multiLevelType w:val="hybridMultilevel"/>
    <w:tmpl w:val="34E2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1E4440"/>
    <w:multiLevelType w:val="hybridMultilevel"/>
    <w:tmpl w:val="26B8D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32804"/>
    <w:multiLevelType w:val="multilevel"/>
    <w:tmpl w:val="DB2E3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B8E3A42"/>
    <w:multiLevelType w:val="hybridMultilevel"/>
    <w:tmpl w:val="19AAD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85639E"/>
    <w:multiLevelType w:val="hybridMultilevel"/>
    <w:tmpl w:val="DDF0DBEA"/>
    <w:lvl w:ilvl="0" w:tplc="395499F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1"/>
  </w:num>
  <w:num w:numId="5">
    <w:abstractNumId w:val="16"/>
  </w:num>
  <w:num w:numId="6">
    <w:abstractNumId w:val="22"/>
  </w:num>
  <w:num w:numId="7">
    <w:abstractNumId w:val="19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5"/>
  </w:num>
  <w:num w:numId="13">
    <w:abstractNumId w:val="17"/>
  </w:num>
  <w:num w:numId="14">
    <w:abstractNumId w:val="7"/>
  </w:num>
  <w:num w:numId="15">
    <w:abstractNumId w:val="20"/>
  </w:num>
  <w:num w:numId="16">
    <w:abstractNumId w:val="2"/>
  </w:num>
  <w:num w:numId="17">
    <w:abstractNumId w:val="13"/>
  </w:num>
  <w:num w:numId="18">
    <w:abstractNumId w:val="11"/>
  </w:num>
  <w:num w:numId="19">
    <w:abstractNumId w:val="3"/>
  </w:num>
  <w:num w:numId="20">
    <w:abstractNumId w:val="1"/>
  </w:num>
  <w:num w:numId="21">
    <w:abstractNumId w:val="5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988"/>
    <w:rsid w:val="00126108"/>
    <w:rsid w:val="001267D7"/>
    <w:rsid w:val="00282988"/>
    <w:rsid w:val="002D6507"/>
    <w:rsid w:val="00523264"/>
    <w:rsid w:val="00AD6AA0"/>
    <w:rsid w:val="00BC2EED"/>
    <w:rsid w:val="00E33341"/>
    <w:rsid w:val="00E47A15"/>
    <w:rsid w:val="00F1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Max</cp:lastModifiedBy>
  <cp:revision>2</cp:revision>
  <cp:lastPrinted>2007-08-14T00:13:00Z</cp:lastPrinted>
  <dcterms:created xsi:type="dcterms:W3CDTF">2017-03-15T06:39:00Z</dcterms:created>
  <dcterms:modified xsi:type="dcterms:W3CDTF">2017-03-15T06:39:00Z</dcterms:modified>
</cp:coreProperties>
</file>